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y ROI</w:t>
      </w:r>
    </w:p>
    <w:p>
      <w:pPr>
        <w:pStyle w:val="Heading2"/>
        <w:keepNext/>
        <w:keepLines/>
      </w:pPr>
      <w:r>
        <w:rPr>
          <w:color w:val="0066CC"/>
        </w:rPr>
        <w:t>Esquema de implementación</w:t>
      </w:r>
    </w:p>
    <w:p>
      <w:pPr>
        <w:pStyle w:val="Heading3"/>
        <w:keepNext/>
        <w:keepLines/>
      </w:pPr>
      <w:r>
        <w:t>1. Estructura general del libro de Excel</w:t>
      </w:r>
    </w:p>
    <w:p>
      <w:r>
        <w:t>Se recomienda crear un libro con, al menos, las siguientes hojas:</w:t>
      </w:r>
    </w:p>
    <w:p>
      <w:pPr>
        <w:pStyle w:val="ListNumber"/>
        <w:keepLines w:val="1"/>
        <w:keepNext w:val="1"/>
        <w:widowControl w:val="1"/>
      </w:pPr>
      <w:r>
        <w:t>Respuestas – vuelco de las respuestas de la encuesta, una fila por organización.</w:t>
      </w:r>
    </w:p>
    <w:p>
      <w:pPr>
        <w:pStyle w:val="ListNumber"/>
        <w:keepLines w:val="1"/>
        <w:keepNext w:val="1"/>
        <w:widowControl w:val="1"/>
      </w:pPr>
      <w:r>
        <w:t>Codificación – tabla de mapeo de respuestas textuales a valores numéricos.</w:t>
      </w:r>
    </w:p>
    <w:p>
      <w:pPr>
        <w:pStyle w:val="ListNumber"/>
        <w:keepLines w:val="1"/>
        <w:keepNext w:val="1"/>
        <w:widowControl w:val="1"/>
      </w:pPr>
      <w:r>
        <w:t>IGM_TRIKE – cálculo de subíndices (T, R, I, K, E) e índice global de madurez.</w:t>
      </w:r>
    </w:p>
    <w:p>
      <w:pPr>
        <w:pStyle w:val="ListNumber"/>
        <w:keepLines w:val="1"/>
        <w:keepNext w:val="1"/>
        <w:widowControl w:val="1"/>
      </w:pPr>
      <w:r>
        <w:t>ROI – modelo de coste/beneficio y estimaciones de retorno.</w:t>
      </w:r>
    </w:p>
    <w:p>
      <w:pPr>
        <w:pStyle w:val="ListNumber"/>
        <w:keepLines w:val="1"/>
        <w:widowControl w:val="1"/>
      </w:pPr>
      <w:r>
        <w:t>Parametros – pesos, umbrales y supuestos ajustables.</w:t>
      </w:r>
    </w:p>
    <w:p>
      <w:pPr>
        <w:pStyle w:val="Heading3"/>
        <w:keepNext/>
        <w:keepLines/>
      </w:pPr>
      <w:r>
        <w:t>2. Codificación de respuestas</w:t>
      </w:r>
    </w:p>
    <w:p>
      <w:r>
        <w:t xml:space="preserve">En la hoja </w:t>
      </w:r>
      <w:r>
        <w:rPr>
          <w:rFonts w:ascii="Courier New" w:hAnsi="Courier New"/>
          <w:sz w:val="18"/>
        </w:rPr>
        <w:t>Codificación</w:t>
      </w:r>
      <w:r>
        <w:t>, definir para cada pregunta una escala (0–4) donde:</w:t>
      </w:r>
    </w:p>
    <w:p>
      <w:pPr>
        <w:pStyle w:val="ListBullet"/>
        <w:keepLines w:val="1"/>
        <w:keepNext w:val="1"/>
        <w:widowControl w:val="1"/>
      </w:pPr>
      <w:r>
        <w:t>0 represente ausencia de práctica o nivel mínimo.</w:t>
      </w:r>
    </w:p>
    <w:p>
      <w:pPr>
        <w:pStyle w:val="ListBullet"/>
        <w:keepLines w:val="1"/>
        <w:widowControl w:val="1"/>
      </w:pPr>
      <w:r>
        <w:t>4 represente un nivel de madurez alto, sistemático y evidenciable.</w:t>
      </w:r>
    </w:p>
    <w:p>
      <w:r>
        <w:t>Ejemplo (simplificado):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Respuesta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P1.4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Nunca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P1.4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raramente / casi nunca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P1.4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Ocasionalmente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P1.4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Sí, pero solo en proyectos críticos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P1.4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Sí, sistemáticamente en todos los proyectos relevantes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</w:tr>
    </w:tbl>
    <w:p/>
    <w:p>
      <w:r>
        <w:t>La misma lógica puede aplicarse al resto de preguntas cerradas.</w:t>
      </w:r>
    </w:p>
    <w:p>
      <w:pPr>
        <w:pStyle w:val="Heading3"/>
        <w:keepNext/>
        <w:keepLines/>
      </w:pPr>
      <w:r>
        <w:t>3. Cálculo de subíndices TRIKE</w:t>
      </w:r>
    </w:p>
    <w:p>
      <w:r>
        <w:t xml:space="preserve">En </w:t>
      </w:r>
      <w:r>
        <w:rPr>
          <w:rFonts w:ascii="Courier New" w:hAnsi="Courier New"/>
          <w:sz w:val="18"/>
        </w:rPr>
        <w:t>Parametros</w:t>
      </w:r>
      <w:r>
        <w:t>, definir:</w:t>
      </w:r>
    </w:p>
    <w:p>
      <w:pPr>
        <w:pStyle w:val="ListBullet"/>
        <w:keepLines w:val="1"/>
        <w:keepNext w:val="1"/>
        <w:widowControl w:val="1"/>
      </w:pPr>
      <w:r>
        <w:t>Conjunto de preguntas por dimensión:</w:t>
      </w:r>
    </w:p>
    <w:p>
      <w:pPr>
        <w:pStyle w:val="ListBullet"/>
        <w:keepLines w:val="1"/>
        <w:keepNext w:val="1"/>
        <w:widowControl w:val="1"/>
      </w:pPr>
      <w:r>
        <w:t>Threat (T): P1.1–P1.8</w:t>
      </w:r>
    </w:p>
    <w:p>
      <w:pPr>
        <w:pStyle w:val="ListBullet"/>
        <w:keepLines w:val="1"/>
        <w:keepNext w:val="1"/>
        <w:widowControl w:val="1"/>
      </w:pPr>
      <w:r>
        <w:t>Risk (R): P2.1–P2.6</w:t>
      </w:r>
    </w:p>
    <w:p>
      <w:pPr>
        <w:pStyle w:val="ListBullet"/>
        <w:keepLines w:val="1"/>
        <w:keepNext w:val="1"/>
        <w:widowControl w:val="1"/>
      </w:pPr>
      <w:r>
        <w:t>Impact (I): P3.1–P3.6</w:t>
      </w:r>
    </w:p>
    <w:p>
      <w:pPr>
        <w:pStyle w:val="ListBullet"/>
        <w:keepLines w:val="1"/>
        <w:keepNext w:val="1"/>
        <w:widowControl w:val="1"/>
      </w:pPr>
      <w:r>
        <w:t>Knowledge (K): P4.1–P4.5</w:t>
      </w:r>
    </w:p>
    <w:p>
      <w:pPr>
        <w:pStyle w:val="ListBullet"/>
        <w:keepLines w:val="1"/>
        <w:widowControl w:val="1"/>
      </w:pPr>
      <w:r>
        <w:t>Evaluation (E): P5.1–P5.6, P6.1–P6.3</w:t>
      </w:r>
    </w:p>
    <w:p>
      <w:r>
        <w:t xml:space="preserve">Para cada organización (fila) en </w:t>
      </w:r>
      <w:r>
        <w:rPr>
          <w:rFonts w:ascii="Courier New" w:hAnsi="Courier New"/>
          <w:sz w:val="18"/>
        </w:rPr>
        <w:t>Respuestas</w:t>
      </w:r>
      <w:r>
        <w:t>:</w:t>
      </w:r>
    </w:p>
    <w:p>
      <w:pPr>
        <w:pStyle w:val="ListNumber"/>
        <w:keepLines w:val="1"/>
        <w:keepNext w:val="1"/>
        <w:widowControl w:val="1"/>
      </w:pPr>
      <w:r>
        <w:t>Traducir respuestas textuales a valores numéricos mediante búsquedas (por ejemplo, BUSCARV o XLOOKUP).</w:t>
      </w:r>
    </w:p>
    <w:p>
      <w:pPr>
        <w:pStyle w:val="ListNumber"/>
        <w:keepLines w:val="1"/>
        <w:widowControl w:val="1"/>
      </w:pPr>
      <w:r>
        <w:t>Calcular la media o suma normalizada de los valores de cada grupo de preguntas.</w:t>
      </w:r>
    </w:p>
    <w:p>
      <w:r>
        <w:t>Ejemplo de fórmula (pseudo):</w:t>
      </w:r>
    </w:p>
    <w:p>
      <w:pPr>
        <w:pStyle w:val="ListBullet"/>
        <w:keepLines w:val="1"/>
        <w:keepNext w:val="1"/>
        <w:widowControl w:val="1"/>
      </w:pPr>
      <w:r>
        <w:t>T = PROMEDIO(P1.1_valor; P1.2_valor; ...; P1.8_valor)</w:t>
      </w:r>
    </w:p>
    <w:p>
      <w:pPr>
        <w:pStyle w:val="ListBullet"/>
        <w:keepLines w:val="1"/>
        <w:keepNext w:val="1"/>
        <w:widowControl w:val="1"/>
      </w:pPr>
      <w:r>
        <w:t>R = PROMEDIO(P2.1_valor; ...; P2.6_valor)</w:t>
      </w:r>
    </w:p>
    <w:p>
      <w:pPr>
        <w:pStyle w:val="ListBullet"/>
        <w:keepLines w:val="1"/>
        <w:widowControl w:val="1"/>
      </w:pPr>
      <w:r>
        <w:t>etc.</w:t>
      </w:r>
    </w:p>
    <w:p>
      <w:r>
        <w:t>Normalizar opcionalmente a una escala 0–100:</w:t>
      </w:r>
    </w:p>
    <w:p>
      <w:pPr>
        <w:pStyle w:val="ListBullet"/>
        <w:keepLines w:val="1"/>
        <w:keepNext w:val="1"/>
        <w:widowControl w:val="1"/>
      </w:pPr>
      <w:r>
        <w:t>T_norm = (T / 4) * 100</w:t>
      </w:r>
    </w:p>
    <w:p>
      <w:pPr>
        <w:pStyle w:val="ListBullet"/>
        <w:keepLines w:val="1"/>
        <w:keepNext w:val="1"/>
        <w:widowControl w:val="1"/>
      </w:pPr>
      <w:r>
        <w:t>R_norm = (R / 4) * 100</w:t>
      </w:r>
    </w:p>
    <w:p>
      <w:pPr>
        <w:pStyle w:val="ListBullet"/>
        <w:keepLines w:val="1"/>
        <w:widowControl w:val="1"/>
      </w:pPr>
      <w:r>
        <w:t>etc.</w:t>
      </w:r>
    </w:p>
    <w:p>
      <w:r>
        <w:t>El Índice Global de Madurez (IGM) puede definirse como:</w:t>
      </w:r>
    </w:p>
    <w:p>
      <w:pPr>
        <w:pStyle w:val="ListBullet"/>
        <w:keepLines w:val="1"/>
        <w:widowControl w:val="1"/>
      </w:pPr>
      <w:r>
        <w:t>IGM = (wT*T_norm + wR*R_norm + wI*I_norm + wK*K_norm + wE*E_norm) / (wT + wR + wI + wK + wE)</w:t>
      </w:r>
    </w:p>
    <w:p>
      <w:r>
        <w:t xml:space="preserve">donde wT, wR, etc., son pesos configurables en </w:t>
      </w:r>
      <w:r>
        <w:rPr>
          <w:rFonts w:ascii="Courier New" w:hAnsi="Courier New"/>
          <w:sz w:val="18"/>
        </w:rPr>
        <w:t>Parametros</w:t>
      </w:r>
      <w:r>
        <w:t>.</w:t>
      </w:r>
    </w:p>
    <w:p>
      <w:pPr>
        <w:pStyle w:val="Heading3"/>
        <w:keepNext/>
        <w:keepLines/>
      </w:pPr>
      <w:r>
        <w:t>4. Modelo básico de ROI</w:t>
      </w:r>
    </w:p>
    <w:p>
      <w:r>
        <w:t xml:space="preserve">En la hoja </w:t>
      </w:r>
      <w:r>
        <w:rPr>
          <w:rFonts w:ascii="Courier New" w:hAnsi="Courier New"/>
          <w:sz w:val="18"/>
        </w:rPr>
        <w:t>ROI</w:t>
      </w:r>
      <w:r>
        <w:t>, se sugiere:</w:t>
      </w:r>
    </w:p>
    <w:p>
      <w:pPr>
        <w:pStyle w:val="Heading4"/>
        <w:keepNext/>
        <w:keepLines/>
      </w:pPr>
      <w:r>
        <w:t>4.1 Variables de entrada (por organización)</w:t>
      </w:r>
    </w:p>
    <w:p>
      <w:pPr>
        <w:pStyle w:val="ListBullet"/>
        <w:keepLines w:val="1"/>
        <w:keepNext w:val="1"/>
        <w:widowControl w:val="1"/>
      </w:pPr>
      <w:r>
        <w:t>Coste_CS: gasto anual en ciberseguridad (personal, tecnología, servicios).</w:t>
      </w:r>
    </w:p>
    <w:p>
      <w:pPr>
        <w:pStyle w:val="ListBullet"/>
        <w:keepLines w:val="1"/>
        <w:keepNext w:val="1"/>
        <w:widowControl w:val="1"/>
      </w:pPr>
      <w:r>
        <w:t>Incidentes_previos: número de incidentes con impacto significativo en periodo de referencia.</w:t>
      </w:r>
    </w:p>
    <w:p>
      <w:pPr>
        <w:pStyle w:val="ListBullet"/>
        <w:keepLines w:val="1"/>
        <w:keepNext w:val="1"/>
        <w:widowControl w:val="1"/>
      </w:pPr>
      <w:r>
        <w:t>Coste_total_incidentes_previos: estimación total de impacto económico en dicho periodo.</w:t>
      </w:r>
    </w:p>
    <w:p>
      <w:pPr>
        <w:pStyle w:val="ListBullet"/>
        <w:keepLines w:val="1"/>
        <w:keepNext w:val="1"/>
        <w:widowControl w:val="1"/>
      </w:pPr>
      <w:r>
        <w:t>Incidentes_actuales: número de incidentes tras implementación de medidas.</w:t>
      </w:r>
    </w:p>
    <w:p>
      <w:pPr>
        <w:pStyle w:val="ListBullet"/>
        <w:keepLines w:val="1"/>
        <w:keepNext w:val="1"/>
        <w:widowControl w:val="1"/>
      </w:pPr>
      <w:r>
        <w:t>Coste_total_incidentes_actuales: coste asociado.</w:t>
      </w:r>
    </w:p>
    <w:p>
      <w:pPr>
        <w:pStyle w:val="ListBullet"/>
        <w:keepLines w:val="1"/>
        <w:widowControl w:val="1"/>
      </w:pPr>
      <w:r>
        <w:t>Ingresos_anuales o Valor_activos_críticos.</w:t>
      </w:r>
    </w:p>
    <w:p>
      <w:pPr>
        <w:pStyle w:val="Heading4"/>
        <w:keepNext/>
        <w:keepLines/>
      </w:pPr>
      <w:r>
        <w:t>4.2 Indicadores derivados</w:t>
      </w:r>
    </w:p>
    <w:p>
      <w:pPr>
        <w:pStyle w:val="ListBullet"/>
        <w:keepLines w:val="1"/>
        <w:keepNext w:val="1"/>
        <w:widowControl w:val="1"/>
      </w:pPr>
      <w:r>
        <w:t>Reducción_incidentes = Incidentes_previos - Incidentes_actuales</w:t>
      </w:r>
    </w:p>
    <w:p>
      <w:pPr>
        <w:pStyle w:val="ListBullet"/>
        <w:keepLines w:val="1"/>
        <w:keepNext w:val="1"/>
        <w:widowControl w:val="1"/>
      </w:pPr>
      <w:r>
        <w:t>Reducción_coste = Coste_total_incidentes_previos - Coste_total_incidentes_actuales</w:t>
      </w:r>
    </w:p>
    <w:p>
      <w:pPr>
        <w:pStyle w:val="ListBullet"/>
        <w:keepLines w:val="1"/>
        <w:widowControl w:val="1"/>
      </w:pPr>
      <w:r>
        <w:t>Ratio_reducción = Reducción_coste / Coste_total_incidentes_previos (cuando aplicable)</w:t>
      </w:r>
    </w:p>
    <w:p>
      <w:pPr>
        <w:pStyle w:val="Heading4"/>
        <w:keepNext/>
        <w:keepLines/>
      </w:pPr>
      <w:r>
        <w:t>4.3 ROI simplificado</w:t>
      </w:r>
    </w:p>
    <w:p>
      <w:r>
        <w:t>Un modelo básico de ROI:</w:t>
      </w:r>
    </w:p>
    <w:p>
      <w:pPr>
        <w:pStyle w:val="ListBullet"/>
        <w:keepLines w:val="1"/>
        <w:widowControl w:val="1"/>
      </w:pPr>
      <w:r>
        <w:t>ROI_CS = (Reducción_coste - Coste_CS) / Coste_CS</w:t>
      </w:r>
    </w:p>
    <w:p>
      <w:r>
        <w:t>Interpretación:</w:t>
      </w:r>
    </w:p>
    <w:p>
      <w:pPr>
        <w:pStyle w:val="ListBullet"/>
        <w:keepLines w:val="1"/>
        <w:keepNext w:val="1"/>
        <w:widowControl w:val="1"/>
      </w:pPr>
      <w:r>
        <w:t>ROI &gt; 0: la reducción de pérdidas por incidentes supera el coste de las medidas de ciberseguridad.</w:t>
      </w:r>
    </w:p>
    <w:p>
      <w:pPr>
        <w:pStyle w:val="ListBullet"/>
        <w:keepLines w:val="1"/>
        <w:keepNext w:val="1"/>
        <w:widowControl w:val="1"/>
      </w:pPr>
      <w:r>
        <w:t>ROI ≈ 0: equilibrio (no se pierde, pero tampoco se gana en términos estrictamente económicos).</w:t>
      </w:r>
    </w:p>
    <w:p>
      <w:pPr>
        <w:pStyle w:val="ListBullet"/>
        <w:keepLines w:val="1"/>
        <w:widowControl w:val="1"/>
      </w:pPr>
      <w:r>
        <w:t>ROI &lt; 0: inversión aún no rentabilizada (lo cual no implica que sea injustificada, especialmente en contextos regulatorios o de riesgos catastróficos de baja probabilidad).</w:t>
      </w:r>
    </w:p>
    <w:p>
      <w:r>
        <w:t>Este enfoque puede refinarse incorporando:</w:t>
      </w:r>
    </w:p>
    <w:p>
      <w:pPr>
        <w:pStyle w:val="ListBullet"/>
        <w:keepLines w:val="1"/>
        <w:keepNext w:val="1"/>
        <w:widowControl w:val="1"/>
      </w:pPr>
      <w:r>
        <w:t>Probabilidad de incidentes graves (basada en datos externos o series históricas).</w:t>
      </w:r>
    </w:p>
    <w:p>
      <w:pPr>
        <w:pStyle w:val="ListBullet"/>
        <w:keepLines w:val="1"/>
        <w:keepNext w:val="1"/>
        <w:widowControl w:val="1"/>
      </w:pPr>
      <w:r>
        <w:t>Cálculos de pérdida esperada anual (ALE, Annual Loss Expectancy).</w:t>
      </w:r>
    </w:p>
    <w:p>
      <w:pPr>
        <w:pStyle w:val="ListBullet"/>
        <w:keepLines w:val="1"/>
        <w:widowControl w:val="1"/>
      </w:pPr>
      <w:r>
        <w:t>Escenarios “antes/después” de determinadas medidas clave (Zero Trust, segmentación, etc.).</w:t>
      </w:r>
    </w:p>
    <w:p>
      <w:pPr>
        <w:pStyle w:val="Heading3"/>
        <w:keepNext/>
        <w:keepLines/>
      </w:pPr>
      <w:r>
        <w:t>5. Visualización y reporting</w:t>
      </w:r>
    </w:p>
    <w:p>
      <w:r>
        <w:t>Se recomienda incluir:</w:t>
      </w:r>
    </w:p>
    <w:p>
      <w:pPr>
        <w:pStyle w:val="ListBullet"/>
        <w:keepLines w:val="1"/>
        <w:keepNext w:val="1"/>
        <w:widowControl w:val="1"/>
      </w:pPr>
      <w:r>
        <w:t>Gráficos radar para T, R, I, K, E por organización.</w:t>
      </w:r>
    </w:p>
    <w:p>
      <w:pPr>
        <w:pStyle w:val="ListBullet"/>
        <w:keepLines w:val="1"/>
        <w:keepNext w:val="1"/>
        <w:widowControl w:val="1"/>
      </w:pPr>
      <w:r>
        <w:t>Histogramas de IGM por sector y tamaño.</w:t>
      </w:r>
    </w:p>
    <w:p>
      <w:pPr>
        <w:pStyle w:val="ListBullet"/>
        <w:keepLines w:val="1"/>
        <w:widowControl w:val="1"/>
      </w:pPr>
      <w:r>
        <w:t>Gráficos de dispersión relacionando IGM con ROI_CS.</w:t>
      </w:r>
    </w:p>
    <w:p>
      <w:r>
        <w:t xml:space="preserve">Estos elementos alimentan directamente la plantilla de reporte ejecutivo (véase </w:t>
      </w:r>
      <w:r>
        <w:rPr>
          <w:rFonts w:ascii="Courier New" w:hAnsi="Courier New"/>
          <w:sz w:val="18"/>
        </w:rPr>
        <w:t>f_plantilla_reporte_ejecutivo_ppt.md</w:t>
      </w:r>
      <w:r>
        <w:t>).</w:t>
      </w:r>
    </w:p>
    <w:p>
      <w:pPr>
        <w:pStyle w:val="Heading2"/>
        <w:keepNext/>
        <w:keepLines/>
      </w:pPr>
      <w:r>
        <w:rPr>
          <w:color w:val="0066CC"/>
        </w:rPr>
        <w:t>6. Nota de prudencia</w:t>
      </w:r>
    </w:p>
    <w:p>
      <w:r>
        <w:t>Los cálculos propuestos no pretenden capturar toda la complejidad del riesgo cibernético, sino ofrecer una aproximación estructurada y comparable.</w:t>
      </w:r>
      <w:r/>
      <w:r>
        <w:br/>
        <w:t>Los supuestos y pesos deben ser revisados por cada organización para ajustarse a su realidad y apetito de riesgo.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