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IGM y ROI – Integrada con GQM + PRAGMATIC</w:t>
      </w:r>
    </w:p>
    <w:p>
      <w:pPr>
        <w:pStyle w:val="Heading2"/>
        <w:keepNext/>
        <w:keepLines/>
      </w:pPr>
      <w:r>
        <w:rPr>
          <w:color w:val="0066CC"/>
        </w:rPr>
        <w:t>1. Estructura propuesta del libro</w:t>
      </w:r>
    </w:p>
    <w:p>
      <w:r>
        <w:t>Hojas recomendadas:</w:t>
      </w:r>
    </w:p>
    <w:p>
      <w:pPr>
        <w:pStyle w:val="ListNumber"/>
        <w:keepLines w:val="1"/>
        <w:keepNext w:val="1"/>
        <w:widowControl w:val="1"/>
      </w:pPr>
      <w:r>
        <w:t>Métricas_TRIKE – catálogo de métricas (T, R, I, K, E), con códigos, definiciones y scores PRAGMATIC. [web:39][web:45]</w:t>
      </w:r>
    </w:p>
    <w:p>
      <w:pPr>
        <w:pStyle w:val="ListNumber"/>
        <w:keepLines w:val="1"/>
        <w:keepNext w:val="1"/>
        <w:widowControl w:val="1"/>
      </w:pPr>
      <w:r>
        <w:t>Datos_Brutos – datos recolectados (por organización, sector, año...).</w:t>
      </w:r>
    </w:p>
    <w:p>
      <w:pPr>
        <w:pStyle w:val="ListNumber"/>
        <w:keepLines w:val="1"/>
        <w:keepNext w:val="1"/>
        <w:widowControl w:val="1"/>
      </w:pPr>
      <w:r>
        <w:t>IGM – cálculo de subíndices y del Índice Global de Madurez.</w:t>
      </w:r>
    </w:p>
    <w:p>
      <w:pPr>
        <w:pStyle w:val="ListNumber"/>
        <w:keepLines w:val="1"/>
        <w:keepNext w:val="1"/>
        <w:widowControl w:val="1"/>
      </w:pPr>
      <w:r>
        <w:t>ROI – estimaciones de retorno de inversión basadas en costes e impactos.</w:t>
      </w:r>
    </w:p>
    <w:p>
      <w:pPr>
        <w:pStyle w:val="ListNumber"/>
        <w:keepLines w:val="1"/>
        <w:widowControl w:val="1"/>
      </w:pPr>
      <w:r>
        <w:t>Parametros – pesos, umbrales, criterios PRAGMATIC y configuraciones.</w:t>
      </w:r>
    </w:p>
    <w:p>
      <w:pPr>
        <w:pStyle w:val="Heading2"/>
        <w:keepNext/>
        <w:keepLines/>
      </w:pPr>
      <w:r>
        <w:rPr>
          <w:color w:val="0066CC"/>
        </w:rPr>
        <w:t>2. Hoja Métricas_TRIKE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Código (p.ej. T1.1.a, R1.1.a, etc.).</w:t>
      </w:r>
    </w:p>
    <w:p>
      <w:pPr>
        <w:pStyle w:val="ListBullet"/>
        <w:keepLines w:val="1"/>
        <w:keepNext w:val="1"/>
        <w:widowControl w:val="1"/>
      </w:pPr>
      <w:r>
        <w:t>Nombre corto.</w:t>
      </w:r>
    </w:p>
    <w:p>
      <w:pPr>
        <w:pStyle w:val="ListBullet"/>
        <w:keepLines w:val="1"/>
        <w:keepNext w:val="1"/>
        <w:widowControl w:val="1"/>
      </w:pPr>
      <w:r>
        <w:t>Descripción detallada.</w:t>
      </w:r>
    </w:p>
    <w:p>
      <w:pPr>
        <w:pStyle w:val="ListBullet"/>
        <w:keepLines w:val="1"/>
        <w:keepNext w:val="1"/>
        <w:widowControl w:val="1"/>
      </w:pPr>
      <w:r>
        <w:t>Dimensión TRIKE (T/R/I/K/E).</w:t>
      </w:r>
    </w:p>
    <w:p>
      <w:pPr>
        <w:pStyle w:val="ListBullet"/>
        <w:keepLines w:val="1"/>
        <w:keepNext w:val="1"/>
        <w:widowControl w:val="1"/>
      </w:pPr>
      <w:r>
        <w:t>Tipo de dato (entero, porcentaje, monetario, etc.).</w:t>
      </w:r>
    </w:p>
    <w:p>
      <w:pPr>
        <w:pStyle w:val="ListBullet"/>
        <w:keepLines w:val="1"/>
        <w:keepNext w:val="1"/>
        <w:widowControl w:val="1"/>
      </w:pPr>
      <w:r>
        <w:t>Fuente (ENCUESTA, CSIRT, REGULADOR, MERCADO...).</w:t>
      </w:r>
    </w:p>
    <w:p>
      <w:pPr>
        <w:pStyle w:val="ListBullet"/>
        <w:keepLines w:val="1"/>
        <w:keepNext w:val="1"/>
        <w:widowControl w:val="1"/>
      </w:pPr>
      <w:r>
        <w:t>Scores PRAGMATIC (P, R, A, G, S, Pr, O, I, Rn).</w:t>
      </w:r>
    </w:p>
    <w:p>
      <w:pPr>
        <w:pStyle w:val="ListBullet"/>
        <w:keepLines w:val="1"/>
        <w:widowControl w:val="1"/>
      </w:pPr>
      <w:r>
        <w:t>Meta-score PRAGMATIC (media o ponderación definida en Parametros). [web:45]</w:t>
      </w:r>
    </w:p>
    <w:p>
      <w:pPr>
        <w:pStyle w:val="Heading2"/>
        <w:keepNext/>
        <w:keepLines/>
      </w:pPr>
      <w:r>
        <w:rPr>
          <w:color w:val="0066CC"/>
        </w:rPr>
        <w:t>3. Hoja Datos_Brutos</w:t>
      </w:r>
    </w:p>
    <w:p>
      <w:r>
        <w:t>Una fila por combinación relevante (p.ej. año–sector–tipo de entidad o, en estudios micro, por organización). Columnas típicas:</w:t>
      </w:r>
    </w:p>
    <w:p>
      <w:pPr>
        <w:pStyle w:val="ListBullet"/>
        <w:keepLines w:val="1"/>
        <w:keepNext w:val="1"/>
        <w:widowControl w:val="1"/>
      </w:pPr>
      <w:r>
        <w:t>Año.</w:t>
      </w:r>
    </w:p>
    <w:p>
      <w:pPr>
        <w:pStyle w:val="ListBullet"/>
        <w:keepLines w:val="1"/>
        <w:keepNext w:val="1"/>
        <w:widowControl w:val="1"/>
      </w:pPr>
      <w:r>
        <w:t>Sector.</w:t>
      </w:r>
    </w:p>
    <w:p>
      <w:pPr>
        <w:pStyle w:val="ListBullet"/>
        <w:keepLines w:val="1"/>
        <w:keepNext w:val="1"/>
        <w:widowControl w:val="1"/>
      </w:pPr>
      <w:r>
        <w:t>Tipo de entidad (esencial/importante/otra).</w:t>
      </w:r>
    </w:p>
    <w:p>
      <w:pPr>
        <w:pStyle w:val="ListBullet"/>
        <w:keepLines w:val="1"/>
        <w:keepNext w:val="1"/>
        <w:widowControl w:val="1"/>
      </w:pPr>
      <w:r>
        <w:t>Tamaño (micro, pyme, gran empresa, administración...).</w:t>
      </w:r>
    </w:p>
    <w:p>
      <w:pPr>
        <w:pStyle w:val="ListBullet"/>
        <w:keepLines w:val="1"/>
        <w:widowControl w:val="1"/>
      </w:pPr>
      <w:r>
        <w:t>Valores de cada métrica (T1.1.a, T1.1.b, ..., E1.3.a).</w:t>
      </w:r>
    </w:p>
    <w:p>
      <w:pPr>
        <w:pStyle w:val="Heading2"/>
        <w:keepNext/>
        <w:keepLines/>
      </w:pPr>
      <w:r>
        <w:rPr>
          <w:color w:val="0066CC"/>
        </w:rPr>
        <w:t>4. Hoja IGM</w:t>
      </w:r>
    </w:p>
    <w:p>
      <w:pPr>
        <w:pStyle w:val="Heading3"/>
        <w:keepNext/>
        <w:keepLines/>
      </w:pPr>
      <w:r>
        <w:t>4.1 Cálculo de subíndices por dimensión TRIKE</w:t>
      </w:r>
    </w:p>
    <w:p>
      <w:r>
        <w:t>Para cada fila (p.ej. sector–año):</w:t>
      </w:r>
    </w:p>
    <w:p>
      <w:pPr>
        <w:pStyle w:val="ListBullet"/>
        <w:keepLines w:val="1"/>
        <w:keepNext w:val="1"/>
        <w:widowControl w:val="1"/>
      </w:pPr>
      <w:r>
        <w:t>T_index = FUNCIÓN(T1.1.a_norm, T1.1.b_norm, T1.2.a_norm, T1.2.b_norm, T1.3.a_norm, T1.3.b_norm)</w:t>
      </w:r>
    </w:p>
    <w:p>
      <w:pPr>
        <w:pStyle w:val="ListBullet"/>
        <w:keepLines w:val="1"/>
        <w:keepNext w:val="1"/>
        <w:widowControl w:val="1"/>
      </w:pPr>
      <w:r>
        <w:t>R_index = FUNCIÓN(R1.1.a_norm, R1.2.a_norm, R1.3.a_norm, R1.3.b_norm)</w:t>
      </w:r>
    </w:p>
    <w:p>
      <w:pPr>
        <w:pStyle w:val="ListBullet"/>
        <w:keepLines w:val="1"/>
        <w:keepNext w:val="1"/>
        <w:widowControl w:val="1"/>
      </w:pPr>
      <w:r>
        <w:t>I_index = FUNCIÓN(I1.1.a_norm, I1.2.a_norm, I1.2.b_norm, I1.3.a_norm, I1.3.b_norm)</w:t>
      </w:r>
    </w:p>
    <w:p>
      <w:pPr>
        <w:pStyle w:val="ListBullet"/>
        <w:keepLines w:val="1"/>
        <w:keepNext w:val="1"/>
        <w:widowControl w:val="1"/>
      </w:pPr>
      <w:r>
        <w:t>K_index = FUNCIÓN(K1.1.a_norm, K1.2.a_norm, K1.3.a_norm, K1.3.b_norm)</w:t>
      </w:r>
    </w:p>
    <w:p>
      <w:pPr>
        <w:pStyle w:val="ListBullet"/>
        <w:keepLines w:val="1"/>
        <w:widowControl w:val="1"/>
      </w:pPr>
      <w:r>
        <w:t>E_index = FUNCIÓN(E1.1.a_norm, E1.2.a_norm, E1.2.b_norm, E1.3.a_norm)</w:t>
      </w:r>
    </w:p>
    <w:p>
      <w:r>
        <w:t xml:space="preserve">Donde cada métrica se normaliza (si procede) a una escala 0–100, y la función puede ser una media simple o ponderada con pesos definidos en </w:t>
      </w:r>
      <w:r>
        <w:rPr>
          <w:rFonts w:ascii="Courier New" w:hAnsi="Courier New"/>
          <w:sz w:val="18"/>
        </w:rPr>
        <w:t>Parametros</w:t>
      </w:r>
      <w:r>
        <w:t xml:space="preserve"> (posiblemente ajustados según meta-score PRAGMATIC para privilegiar métricas de mayor calidad). [web:45]</w:t>
      </w:r>
    </w:p>
    <w:p>
      <w:pPr>
        <w:pStyle w:val="Heading3"/>
        <w:keepNext/>
        <w:keepLines/>
      </w:pPr>
      <w:r>
        <w:t>4.2 Cálculo del Índice Global de Madurez (IGM)</w:t>
      </w:r>
    </w:p>
    <w:p>
      <w:r>
        <w:t xml:space="preserve">En </w:t>
      </w:r>
      <w:r>
        <w:rPr>
          <w:rFonts w:ascii="Courier New" w:hAnsi="Courier New"/>
          <w:sz w:val="18"/>
        </w:rPr>
        <w:t>Parametros</w:t>
      </w:r>
      <w:r>
        <w:t xml:space="preserve">, definir pesos de cada dimensión (wT, wR, wI, wK, wE).  </w:t>
      </w:r>
    </w:p>
    <w:p>
      <w:r>
        <w:t>Fórmula general:</w:t>
      </w:r>
    </w:p>
    <w:p>
      <w:pPr>
        <w:pStyle w:val="ListBullet"/>
        <w:keepLines w:val="1"/>
        <w:widowControl w:val="1"/>
      </w:pPr>
      <w:r>
        <w:t>IGM = (wT*T_index + wR*R_index + wI*I_index + wK*K_index + wE*E_index) / (wT + wR + wI + wK + wE)</w:t>
      </w:r>
    </w:p>
    <w:p>
      <w:r>
        <w:t>Puede incorporarse un factor de calidad basado en PRAGMATIC:</w:t>
      </w:r>
    </w:p>
    <w:p>
      <w:pPr>
        <w:pStyle w:val="ListBullet"/>
        <w:keepLines w:val="1"/>
        <w:widowControl w:val="1"/>
      </w:pPr>
      <w:r>
        <w:t>IGM_ajustado = IGM * (1 - alpha*(1 - MetaScore_PRAGMATIC_global))</w:t>
      </w:r>
    </w:p>
    <w:p>
      <w:r>
        <w:t xml:space="preserve">donde </w:t>
      </w:r>
      <w:r>
        <w:rPr>
          <w:rFonts w:ascii="Courier New" w:hAnsi="Courier New"/>
          <w:sz w:val="18"/>
        </w:rPr>
        <w:t>MetaScore_PRAGMATIC_global</w:t>
      </w:r>
      <w:r>
        <w:t xml:space="preserve"> refleja la calidad media de las métricas utilizadas y </w:t>
      </w:r>
      <w:r>
        <w:rPr>
          <w:rFonts w:ascii="Courier New" w:hAnsi="Courier New"/>
          <w:sz w:val="18"/>
        </w:rPr>
        <w:t>alpha</w:t>
      </w:r>
      <w:r>
        <w:t xml:space="preserve"> ajusta la penalización por baja calidad.</w:t>
      </w:r>
    </w:p>
    <w:p>
      <w:pPr>
        <w:pStyle w:val="Heading2"/>
        <w:keepNext/>
        <w:keepLines/>
      </w:pPr>
      <w:r>
        <w:rPr>
          <w:color w:val="0066CC"/>
        </w:rPr>
        <w:t>5. Hoja ROI</w:t>
      </w:r>
    </w:p>
    <w:p>
      <w:r>
        <w:t>Integrar los elementos clásicos de ROI con métricas de impacto (I1.2.a, I1.2.b) y riesgo (R1.1.a):</w:t>
      </w:r>
    </w:p>
    <w:p>
      <w:r>
        <w:t>Variables de entrada por fila (sector/organización):</w:t>
      </w:r>
    </w:p>
    <w:p>
      <w:pPr>
        <w:pStyle w:val="ListBullet"/>
        <w:keepLines w:val="1"/>
        <w:keepNext w:val="1"/>
        <w:widowControl w:val="1"/>
      </w:pPr>
      <w:r>
        <w:t>Coste_CS: gasto anual en ciberseguridad.</w:t>
      </w:r>
    </w:p>
    <w:p>
      <w:pPr>
        <w:pStyle w:val="ListBullet"/>
        <w:keepLines w:val="1"/>
        <w:keepNext w:val="1"/>
        <w:widowControl w:val="1"/>
      </w:pPr>
      <w:r>
        <w:t>Incidentes_previos, Coste_inc_previos.</w:t>
      </w:r>
    </w:p>
    <w:p>
      <w:pPr>
        <w:pStyle w:val="ListBullet"/>
        <w:keepLines w:val="1"/>
        <w:widowControl w:val="1"/>
      </w:pPr>
      <w:r>
        <w:t>Incidentes_actuales, Coste_inc_actuales.</w:t>
      </w:r>
    </w:p>
    <w:p>
      <w:r>
        <w:t>Indicadores:</w:t>
      </w:r>
    </w:p>
    <w:p>
      <w:pPr>
        <w:pStyle w:val="ListBullet"/>
        <w:keepLines w:val="1"/>
        <w:keepNext w:val="1"/>
        <w:widowControl w:val="1"/>
      </w:pPr>
      <w:r>
        <w:t>Reducción_incidentes = Incidentes_previos - Incidentes_actuales</w:t>
      </w:r>
    </w:p>
    <w:p>
      <w:pPr>
        <w:pStyle w:val="ListBullet"/>
        <w:keepLines w:val="1"/>
        <w:widowControl w:val="1"/>
      </w:pPr>
      <w:r>
        <w:t>Reducción_coste = Coste_inc_previos - Coste_inc_actuales</w:t>
      </w:r>
    </w:p>
    <w:p>
      <w:r>
        <w:t>ROI básico:</w:t>
      </w:r>
    </w:p>
    <w:p>
      <w:pPr>
        <w:pStyle w:val="ListBullet"/>
        <w:keepLines w:val="1"/>
        <w:widowControl w:val="1"/>
      </w:pPr>
      <w:r>
        <w:t>ROI_CS = (Reducción_coste - Coste_CS) / Coste_CS</w:t>
      </w:r>
    </w:p>
    <w:p>
      <w:r>
        <w:t>Escenarios:</w:t>
      </w:r>
    </w:p>
    <w:p>
      <w:pPr>
        <w:pStyle w:val="ListBullet"/>
        <w:keepLines w:val="1"/>
        <w:keepNext w:val="1"/>
        <w:widowControl w:val="1"/>
      </w:pPr>
      <w:r>
        <w:t>Escenario 0: situación actual.</w:t>
      </w:r>
    </w:p>
    <w:p>
      <w:pPr>
        <w:pStyle w:val="ListBullet"/>
        <w:keepLines w:val="1"/>
        <w:keepNext w:val="1"/>
        <w:widowControl w:val="1"/>
      </w:pPr>
      <w:r>
        <w:t>Escenario 1: mejora en T y K (mejor detección/anticipación).</w:t>
      </w:r>
    </w:p>
    <w:p>
      <w:pPr>
        <w:pStyle w:val="ListBullet"/>
        <w:keepLines w:val="1"/>
        <w:widowControl w:val="1"/>
      </w:pPr>
      <w:r>
        <w:t>Escenario 2: mejora en R e I (mejor gestión del riesgo e impacto).</w:t>
      </w:r>
    </w:p>
    <w:p>
      <w:pPr>
        <w:pStyle w:val="Heading2"/>
        <w:keepNext/>
        <w:keepLines/>
      </w:pPr>
      <w:r>
        <w:rPr>
          <w:color w:val="0066CC"/>
        </w:rPr>
        <w:t>6. Visualizaciones</w:t>
      </w:r>
    </w:p>
    <w:p>
      <w:pPr>
        <w:pStyle w:val="ListBullet"/>
        <w:keepLines w:val="1"/>
        <w:keepNext w:val="1"/>
        <w:widowControl w:val="1"/>
      </w:pPr>
      <w:r>
        <w:t>Gráficos radar para T/R/I/K/E.</w:t>
      </w:r>
    </w:p>
    <w:p>
      <w:pPr>
        <w:pStyle w:val="ListBullet"/>
        <w:keepLines w:val="1"/>
        <w:keepNext w:val="1"/>
        <w:widowControl w:val="1"/>
      </w:pPr>
      <w:r>
        <w:t>Líneas de tiempo para IGM por sector.</w:t>
      </w:r>
    </w:p>
    <w:p>
      <w:pPr>
        <w:pStyle w:val="ListBullet"/>
        <w:keepLines w:val="1"/>
        <w:widowControl w:val="1"/>
      </w:pPr>
      <w:r>
        <w:t>Gráficos de dispersión (IGM vs. ROI_CS).</w:t>
      </w:r>
    </w:p>
    <w:p>
      <w:r>
        <w:t xml:space="preserve">La integración de GQM + PRAGMATIC en la hoja </w:t>
      </w:r>
      <w:r>
        <w:rPr>
          <w:rFonts w:ascii="Courier New" w:hAnsi="Courier New"/>
          <w:sz w:val="18"/>
        </w:rPr>
        <w:t>Métricas_TRIKE</w:t>
      </w:r>
      <w:r>
        <w:t xml:space="preserve"> permite justificar por qué se usan unas métricas y no otras en los paneles de alto nivel. [web:38][web:45]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