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TRIKE +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“Indicadores Nacionales de Ciberseguridad – TRIKE + GQM + PRAGMATIC”</w:t>
      </w:r>
    </w:p>
    <w:p>
      <w:pPr>
        <w:pStyle w:val="ListBullet"/>
        <w:keepLines w:val="1"/>
        <w:keepNext w:val="1"/>
        <w:widowControl w:val="1"/>
      </w:pPr>
      <w:r>
        <w:t>Subtítulo: “Panorama para España en el contexto NIS2”</w:t>
      </w:r>
    </w:p>
    <w:p>
      <w:pPr>
        <w:pStyle w:val="ListBullet"/>
        <w:keepLines w:val="1"/>
        <w:widowControl w:val="1"/>
      </w:pPr>
      <w:r>
        <w:t>Fecha, logos, responsables.</w:t>
      </w:r>
    </w:p>
    <w:p>
      <w:pPr>
        <w:pStyle w:val="Heading2"/>
        <w:keepNext/>
        <w:keepLines/>
      </w:pPr>
      <w:r>
        <w:rPr>
          <w:color w:val="0066CC"/>
        </w:rPr>
        <w:t>Diapositiva 2 – Por qué medir así</w:t>
      </w:r>
    </w:p>
    <w:p>
      <w:pPr>
        <w:pStyle w:val="ListBullet"/>
        <w:keepLines w:val="1"/>
        <w:keepNext w:val="1"/>
        <w:widowControl w:val="1"/>
      </w:pPr>
      <w:r>
        <w:t>Problema: proliferación de indicadores heterogéneos y poco comparables.</w:t>
      </w:r>
    </w:p>
    <w:p>
      <w:pPr>
        <w:pStyle w:val="ListBullet"/>
        <w:keepLines w:val="1"/>
        <w:widowControl w:val="1"/>
      </w:pPr>
      <w:r>
        <w:t>Enfoque: TRIKE para estructurar, GQM para trazar objetivos–preguntas–métricas, PRAGMATIC para cribar métricas de baja calidad. [web:38][web:39][web:45]</w:t>
      </w:r>
    </w:p>
    <w:p>
      <w:r>
        <w:t>Mensaje clave: “no queremos más indicadores, sino mejores indicadores”.</w:t>
      </w:r>
    </w:p>
    <w:p>
      <w:pPr>
        <w:pStyle w:val="Heading2"/>
        <w:keepNext/>
        <w:keepLines/>
      </w:pPr>
      <w:r>
        <w:rPr>
          <w:color w:val="0066CC"/>
        </w:rPr>
        <w:t>Diapositiva 3 – Marco normativo y estratégico</w:t>
      </w:r>
    </w:p>
    <w:p>
      <w:pPr>
        <w:pStyle w:val="ListBullet"/>
        <w:keepLines w:val="1"/>
        <w:keepNext w:val="1"/>
        <w:widowControl w:val="1"/>
      </w:pPr>
      <w:r>
        <w:t>Resumen de NIS2, transposición en España y guías ENISA. [web:23][web:41][web:44]</w:t>
      </w:r>
    </w:p>
    <w:p>
      <w:pPr>
        <w:pStyle w:val="ListBullet"/>
        <w:keepLines w:val="1"/>
        <w:widowControl w:val="1"/>
      </w:pPr>
      <w:r>
        <w:t>Objetivos nacionales de resiliencia y confianza digital.</w:t>
      </w:r>
    </w:p>
    <w:p>
      <w:pPr>
        <w:pStyle w:val="Heading2"/>
        <w:keepNext/>
        <w:keepLines/>
      </w:pPr>
      <w:r>
        <w:rPr>
          <w:color w:val="0066CC"/>
        </w:rPr>
        <w:t>Diapositiva 4 – Arquitectura de indicadores</w:t>
      </w:r>
    </w:p>
    <w:p>
      <w:pPr>
        <w:pStyle w:val="ListBullet"/>
        <w:keepLines w:val="1"/>
        <w:keepNext w:val="1"/>
        <w:widowControl w:val="1"/>
      </w:pPr>
      <w:r>
        <w:t>Diagrama conceptual TRIKE.</w:t>
      </w:r>
    </w:p>
    <w:p>
      <w:pPr>
        <w:pStyle w:val="ListBullet"/>
        <w:keepLines w:val="1"/>
        <w:widowControl w:val="1"/>
      </w:pPr>
      <w:r>
        <w:t>Explicación sucinta de cómo se asignan objetivos (Goals), preguntas y métricas a cada dimensión.</w:t>
      </w:r>
    </w:p>
    <w:p>
      <w:pPr>
        <w:pStyle w:val="Heading2"/>
        <w:keepNext/>
        <w:keepLines/>
      </w:pPr>
      <w:r>
        <w:rPr>
          <w:color w:val="0066CC"/>
        </w:rPr>
        <w:t>Diapositivas 5–9 – Resultados por dimensión TRIKE</w:t>
      </w:r>
    </w:p>
    <w:p>
      <w:r>
        <w:t>Para cada dimensión (T, R, I, K, E):</w:t>
      </w:r>
    </w:p>
    <w:p>
      <w:pPr>
        <w:pStyle w:val="ListBullet"/>
        <w:keepLines w:val="1"/>
        <w:keepNext w:val="1"/>
        <w:widowControl w:val="1"/>
      </w:pPr>
      <w:r>
        <w:t>Gráfico de subíndice (T_index, R_index, etc.) por sector/tipo de entidad.</w:t>
      </w:r>
    </w:p>
    <w:p>
      <w:pPr>
        <w:pStyle w:val="ListBullet"/>
        <w:keepLines w:val="1"/>
        <w:keepNext w:val="1"/>
        <w:widowControl w:val="1"/>
      </w:pPr>
      <w:r>
        <w:t>2–3 métricas estrella con alto meta-score PRAGMATIC.</w:t>
      </w:r>
    </w:p>
    <w:p>
      <w:pPr>
        <w:pStyle w:val="ListBullet"/>
        <w:keepLines w:val="1"/>
        <w:widowControl w:val="1"/>
      </w:pPr>
      <w:r>
        <w:t>Comentarios sobre tendencias y brechas.</w:t>
      </w:r>
    </w:p>
    <w:p>
      <w:pPr>
        <w:pStyle w:val="Heading2"/>
        <w:keepNext/>
        <w:keepLines/>
      </w:pPr>
      <w:r>
        <w:rPr>
          <w:color w:val="0066CC"/>
        </w:rPr>
        <w:t>Diapositiva 10 – Calidad de las métricas (PRAGMATIC)</w:t>
      </w:r>
    </w:p>
    <w:p>
      <w:pPr>
        <w:pStyle w:val="ListBullet"/>
        <w:keepLines w:val="1"/>
        <w:keepNext w:val="1"/>
        <w:widowControl w:val="1"/>
      </w:pPr>
      <w:r>
        <w:t>Tabla o gráfico que resuma el meta-score PRAGMATIC medio por grupo de métricas.</w:t>
      </w:r>
    </w:p>
    <w:p>
      <w:pPr>
        <w:pStyle w:val="ListBullet"/>
        <w:keepLines w:val="1"/>
        <w:widowControl w:val="1"/>
      </w:pPr>
      <w:r>
        <w:t>Identificación de métricas con score bajo que deban revisarse o eliminarse. [web:45]</w:t>
      </w:r>
    </w:p>
    <w:p>
      <w:r>
        <w:t>Mensaje clave: “la calidad de las decisiones depende de la calidad de los indicadores”.</w:t>
      </w:r>
    </w:p>
    <w:p>
      <w:pPr>
        <w:pStyle w:val="Heading2"/>
        <w:keepNext/>
        <w:keepLines/>
      </w:pPr>
      <w:r>
        <w:rPr>
          <w:color w:val="0066CC"/>
        </w:rPr>
        <w:t>Diapositiva 11 – IGM y comparativa internacional</w:t>
      </w:r>
    </w:p>
    <w:p>
      <w:pPr>
        <w:pStyle w:val="ListBullet"/>
        <w:keepLines w:val="1"/>
        <w:keepNext w:val="1"/>
        <w:widowControl w:val="1"/>
      </w:pPr>
      <w:r>
        <w:t>Presentación del Índice Global de Madurez (IGM) y su composición.</w:t>
      </w:r>
    </w:p>
    <w:p>
      <w:pPr>
        <w:pStyle w:val="ListBullet"/>
        <w:keepLines w:val="1"/>
        <w:widowControl w:val="1"/>
      </w:pPr>
      <w:r>
        <w:t>Comparación (cuando sea posible) con benchmarks de la UE u otros países. [web:16][web:43]</w:t>
      </w:r>
    </w:p>
    <w:p>
      <w:pPr>
        <w:pStyle w:val="Heading2"/>
        <w:keepNext/>
        <w:keepLines/>
      </w:pPr>
      <w:r>
        <w:rPr>
          <w:color w:val="0066CC"/>
        </w:rPr>
        <w:t>Diapositiva 12 – ROI y economía de la resiliencia</w:t>
      </w:r>
    </w:p>
    <w:p>
      <w:pPr>
        <w:pStyle w:val="ListBullet"/>
        <w:keepLines w:val="1"/>
        <w:keepNext w:val="1"/>
        <w:widowControl w:val="1"/>
      </w:pPr>
      <w:r>
        <w:t>Relación entre mejoras en IGM y reducción estimada de impacto económico (basada en R1.1.a e I1.2.a/b). [web:23]</w:t>
      </w:r>
    </w:p>
    <w:p>
      <w:pPr>
        <w:pStyle w:val="ListBullet"/>
        <w:keepLines w:val="1"/>
        <w:widowControl w:val="1"/>
      </w:pPr>
      <w:r>
        <w:t>Gráfico ROI_CS por sector o grupo de entidades.</w:t>
      </w:r>
    </w:p>
    <w:p>
      <w:pPr>
        <w:pStyle w:val="Heading2"/>
        <w:keepNext/>
        <w:keepLines/>
      </w:pPr>
      <w:r>
        <w:rPr>
          <w:color w:val="0066CC"/>
        </w:rPr>
        <w:t>Diapositiva 13 – Implicaciones para políticas públicas y estrategias sectoriales</w:t>
      </w:r>
    </w:p>
    <w:p>
      <w:pPr>
        <w:pStyle w:val="ListBullet"/>
        <w:keepLines w:val="1"/>
        <w:keepNext w:val="1"/>
        <w:widowControl w:val="1"/>
      </w:pPr>
      <w:r>
        <w:t>Cómo pueden usar estos indicadores los reguladores, los responsables políticos y los líderes de sector.</w:t>
      </w:r>
    </w:p>
    <w:p>
      <w:pPr>
        <w:pStyle w:val="ListBullet"/>
        <w:keepLines w:val="1"/>
        <w:widowControl w:val="1"/>
      </w:pPr>
      <w:r>
        <w:t>Posibles líneas de actuación (reforzar capacidades, programas de talento, incentivos al reporting, etc.). [web:16][web:41]</w:t>
      </w:r>
    </w:p>
    <w:p>
      <w:pPr>
        <w:pStyle w:val="Heading2"/>
        <w:keepNext/>
        <w:keepLines/>
      </w:pPr>
      <w:r>
        <w:rPr>
          <w:color w:val="0066CC"/>
        </w:rPr>
        <w:t>Diapositiva 14 – Roadmap</w:t>
      </w:r>
    </w:p>
    <w:p>
      <w:pPr>
        <w:pStyle w:val="ListBullet"/>
        <w:keepLines w:val="1"/>
        <w:keepNext w:val="1"/>
        <w:widowControl w:val="1"/>
      </w:pPr>
      <w:r>
        <w:t>Corto plazo: consolidar fuentes de datos y pilotar el set de métricas.</w:t>
      </w:r>
    </w:p>
    <w:p>
      <w:pPr>
        <w:pStyle w:val="ListBullet"/>
        <w:keepLines w:val="1"/>
        <w:keepNext w:val="1"/>
        <w:widowControl w:val="1"/>
      </w:pPr>
      <w:r>
        <w:t>Medio plazo: ajustar GQM y PRAGMATIC, incorporar nuevos indicadores (p.ej. OT, IA).</w:t>
      </w:r>
    </w:p>
    <w:p>
      <w:pPr>
        <w:pStyle w:val="ListBullet"/>
        <w:keepLines w:val="1"/>
        <w:widowControl w:val="1"/>
      </w:pPr>
      <w:r>
        <w:t>Largo plazo: institucionalizar el sistema de indicadores como parte del “estado del arte” nacional. [web:46]</w:t>
      </w:r>
    </w:p>
    <w:p>
      <w:pPr>
        <w:pStyle w:val="Heading2"/>
        <w:keepNext/>
        <w:keepLines/>
      </w:pPr>
      <w:r>
        <w:rPr>
          <w:color w:val="0066CC"/>
        </w:rPr>
        <w:t>Diapositiva 15 – Conclusiones</w:t>
      </w:r>
    </w:p>
    <w:p>
      <w:pPr>
        <w:pStyle w:val="ListBullet"/>
        <w:keepLines w:val="1"/>
        <w:keepNext w:val="1"/>
        <w:widowControl w:val="1"/>
      </w:pPr>
      <w:r>
        <w:t>Resumen de 3–4 ideas clave.</w:t>
      </w:r>
    </w:p>
    <w:p>
      <w:pPr>
        <w:pStyle w:val="ListBullet"/>
        <w:keepLines w:val="1"/>
        <w:widowControl w:val="1"/>
      </w:pPr>
      <w:r>
        <w:t>Mensaje final: “la medición no es un fin, sino una herramienta para gobernar mejor el riesgo”.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