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Resultados Encuesta TRIKE</w:t>
      </w:r>
    </w:p>
    <w:p>
      <w:pPr>
        <w:pStyle w:val="Heading2"/>
        <w:keepNext/>
        <w:keepLines/>
      </w:pPr>
      <w:r>
        <w:rPr>
          <w:color w:val="0066CC"/>
        </w:rPr>
        <w:t>Estructura sugerida para presentación tipo PowerPoint</w:t>
      </w:r>
    </w:p>
    <w:p>
      <w:r>
        <w:t>Nota: cada sección corresponde a una diapositiva (o conjunto breve de diapositivas). Adaptar según el público y el tiempo disponible.</w:t>
      </w:r>
    </w:p>
    <w:p>
      <w:pPr>
        <w:pStyle w:val="Heading3"/>
        <w:keepNext/>
        <w:keepLines/>
      </w:pPr>
      <w: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“Diagnóstico de Madurez en Ciberseguridad – Enfoque TRIKE”</w:t>
      </w:r>
    </w:p>
    <w:p>
      <w:pPr>
        <w:pStyle w:val="ListBullet"/>
        <w:keepLines w:val="1"/>
        <w:keepNext w:val="1"/>
        <w:widowControl w:val="1"/>
      </w:pPr>
      <w:r>
        <w:t>Subtítulo: “Resultados de la encuesta a organizaciones [sector/ámbito]”</w:t>
      </w:r>
    </w:p>
    <w:p>
      <w:pPr>
        <w:pStyle w:val="ListBullet"/>
        <w:keepLines w:val="1"/>
        <w:keepNext w:val="1"/>
        <w:widowControl w:val="1"/>
      </w:pPr>
      <w:r>
        <w:t>Fecha y versión</w:t>
      </w:r>
    </w:p>
    <w:p>
      <w:pPr>
        <w:pStyle w:val="ListBullet"/>
        <w:keepLines w:val="1"/>
        <w:widowControl w:val="1"/>
      </w:pPr>
      <w:r>
        <w:t>Logo(s) de la organización / consorcio</w:t>
      </w:r>
    </w:p>
    <w:p>
      <w:pPr>
        <w:pStyle w:val="Heading3"/>
        <w:keepNext/>
        <w:keepLines/>
      </w:pPr>
      <w:r>
        <w:t>Diapositiva 2 – Contexto y objetivos</w:t>
      </w:r>
    </w:p>
    <w:p>
      <w:pPr>
        <w:pStyle w:val="ListBullet"/>
        <w:keepLines w:val="1"/>
        <w:keepNext w:val="1"/>
        <w:widowControl w:val="1"/>
      </w:pPr>
      <w:r>
        <w:t>Breve recordatorio del contexto regulatorio (NIS2, normativa nacional, incidentes crecientes). [web:17][web:20][web:22]</w:t>
      </w:r>
    </w:p>
    <w:p>
      <w:pPr>
        <w:pStyle w:val="ListBullet"/>
        <w:keepLines w:val="1"/>
        <w:widowControl w:val="1"/>
      </w:pPr>
      <w:r>
        <w:t>Objetivos: medir madurez, identificar brechas, priorizar mejoras.</w:t>
      </w:r>
    </w:p>
    <w:p>
      <w:r>
        <w:t>Mensaje clave: “Esto no es un examen, es una radiografía”.</w:t>
      </w:r>
    </w:p>
    <w:p>
      <w:pPr>
        <w:pStyle w:val="Heading3"/>
        <w:keepNext/>
        <w:keepLines/>
      </w:pPr>
      <w:r>
        <w:t>Diapositiva 3 – Metodología</w:t>
      </w:r>
    </w:p>
    <w:p>
      <w:pPr>
        <w:pStyle w:val="ListBullet"/>
        <w:keepLines w:val="1"/>
        <w:keepNext w:val="1"/>
        <w:widowControl w:val="1"/>
      </w:pPr>
      <w:r>
        <w:t>Población objetivo y muestra.</w:t>
      </w:r>
    </w:p>
    <w:p>
      <w:pPr>
        <w:pStyle w:val="ListBullet"/>
        <w:keepLines w:val="1"/>
        <w:keepNext w:val="1"/>
        <w:widowControl w:val="1"/>
      </w:pPr>
      <w:r>
        <w:t>Periodo de recogida de datos.</w:t>
      </w:r>
    </w:p>
    <w:p>
      <w:pPr>
        <w:pStyle w:val="ListBullet"/>
        <w:keepLines w:val="1"/>
        <w:widowControl w:val="1"/>
      </w:pPr>
      <w:r>
        <w:t>Enfoque TRIKE: breve explicación de Threat, Risk, Impact, Knowledge, Evaluation.</w:t>
      </w:r>
    </w:p>
    <w:p>
      <w:pPr>
        <w:pStyle w:val="Heading3"/>
        <w:keepNext/>
        <w:keepLines/>
      </w:pPr>
      <w:r>
        <w:t>Diapositiva 4 – Perfil de las entidades participantes</w:t>
      </w:r>
    </w:p>
    <w:p>
      <w:pPr>
        <w:pStyle w:val="ListBullet"/>
        <w:keepLines w:val="1"/>
        <w:keepNext w:val="1"/>
        <w:widowControl w:val="1"/>
      </w:pPr>
      <w:r>
        <w:t>Gráfico de sectores.</w:t>
      </w:r>
    </w:p>
    <w:p>
      <w:pPr>
        <w:pStyle w:val="ListBullet"/>
        <w:keepLines w:val="1"/>
        <w:keepNext w:val="1"/>
        <w:widowControl w:val="1"/>
      </w:pPr>
      <w:r>
        <w:t>Distribución por tamaño y tipo de organización.</w:t>
      </w:r>
    </w:p>
    <w:p>
      <w:pPr>
        <w:pStyle w:val="ListBullet"/>
        <w:keepLines w:val="1"/>
        <w:widowControl w:val="1"/>
      </w:pPr>
      <w:r>
        <w:t>Comentario breve sobre representatividad.</w:t>
      </w:r>
    </w:p>
    <w:p>
      <w:pPr>
        <w:pStyle w:val="Heading3"/>
        <w:keepNext/>
        <w:keepLines/>
      </w:pPr>
      <w:r>
        <w:t>Diapositiva 5 – Índice Global de Madurez (IGM)</w:t>
      </w:r>
    </w:p>
    <w:p>
      <w:pPr>
        <w:pStyle w:val="ListBullet"/>
        <w:keepLines w:val="1"/>
        <w:keepNext w:val="1"/>
        <w:widowControl w:val="1"/>
      </w:pPr>
      <w:r>
        <w:t>Gráfico de barras o boxplot con el IGM por sector o grupo.</w:t>
      </w:r>
    </w:p>
    <w:p>
      <w:pPr>
        <w:pStyle w:val="ListBullet"/>
        <w:keepLines w:val="1"/>
        <w:keepNext w:val="1"/>
        <w:widowControl w:val="1"/>
      </w:pPr>
      <w:r>
        <w:t>Umbrales de interpretación (p.ej. 0–40 bajo, 40–70 medio, 70–100 alto).</w:t>
      </w:r>
    </w:p>
    <w:p>
      <w:pPr>
        <w:pStyle w:val="ListBullet"/>
        <w:keepLines w:val="1"/>
        <w:widowControl w:val="1"/>
      </w:pPr>
      <w:r>
        <w:t>Mensaje clave sobre la posición general (sin señalar con el dedo más de lo necesario).</w:t>
      </w:r>
    </w:p>
    <w:p>
      <w:pPr>
        <w:pStyle w:val="Heading3"/>
        <w:keepNext/>
        <w:keepLines/>
      </w:pPr>
      <w:r>
        <w:t>Diapositivas 6–10 – Resultados por dimensión TRIKE</w:t>
      </w:r>
    </w:p>
    <w:p>
      <w:r>
        <w:t>Para cada dimensión (Threat, Risk, Impact, Knowledge, Evaluation):</w:t>
      </w:r>
    </w:p>
    <w:p>
      <w:pPr>
        <w:pStyle w:val="ListBullet"/>
        <w:keepLines w:val="1"/>
        <w:keepNext w:val="1"/>
        <w:widowControl w:val="1"/>
      </w:pPr>
      <w:r>
        <w:t>Gráfico radar o barras comparando medias por sector/tamaño.</w:t>
      </w:r>
    </w:p>
    <w:p>
      <w:pPr>
        <w:pStyle w:val="ListBullet"/>
        <w:keepLines w:val="1"/>
        <w:keepNext w:val="1"/>
        <w:widowControl w:val="1"/>
      </w:pPr>
      <w:r>
        <w:t>3–5 hallazgos clave (p.ej. “alto uso de catálogos de amenazas, pero bajo aprovechamiento en decisiones presupuestarias”).</w:t>
      </w:r>
    </w:p>
    <w:p>
      <w:pPr>
        <w:pStyle w:val="ListBullet"/>
        <w:keepLines w:val="1"/>
        <w:widowControl w:val="1"/>
      </w:pPr>
      <w:r>
        <w:t>Comentario sobre riesgos y oportunidades.</w:t>
      </w:r>
    </w:p>
    <w:p>
      <w:pPr>
        <w:pStyle w:val="Heading3"/>
        <w:keepNext/>
        <w:keepLines/>
      </w:pPr>
      <w:r>
        <w:t>Diapositiva 11 – Métricas y cuadros de mando</w:t>
      </w:r>
    </w:p>
    <w:p>
      <w:pPr>
        <w:pStyle w:val="ListBullet"/>
        <w:keepLines w:val="1"/>
        <w:keepNext w:val="1"/>
        <w:widowControl w:val="1"/>
      </w:pPr>
      <w:r>
        <w:t>Proporción de organizaciones con dashboards de ciberseguridad revisados por dirección.</w:t>
      </w:r>
    </w:p>
    <w:p>
      <w:pPr>
        <w:pStyle w:val="ListBullet"/>
        <w:keepLines w:val="1"/>
        <w:keepNext w:val="1"/>
        <w:widowControl w:val="1"/>
      </w:pPr>
      <w:r>
        <w:t>Ejemplos anónimos de indicadores utilizados.</w:t>
      </w:r>
    </w:p>
    <w:p>
      <w:pPr>
        <w:pStyle w:val="ListBullet"/>
        <w:keepLines w:val="1"/>
        <w:widowControl w:val="1"/>
      </w:pPr>
      <w:r>
        <w:t>Breve reflexión sobre la “alfabetización de la alta dirección” en materia de ciberseguridad.</w:t>
      </w:r>
    </w:p>
    <w:p>
      <w:pPr>
        <w:pStyle w:val="Heading3"/>
        <w:keepNext/>
        <w:keepLines/>
      </w:pPr>
      <w:r>
        <w:t>Diapositiva 12 – ROI y economía de la seguridad</w:t>
      </w:r>
    </w:p>
    <w:p>
      <w:pPr>
        <w:pStyle w:val="ListBullet"/>
        <w:keepLines w:val="1"/>
        <w:keepNext w:val="1"/>
        <w:widowControl w:val="1"/>
      </w:pPr>
      <w:r>
        <w:t>Resumen de resultados de la hoja ROI (cuando haya datos suficientes).</w:t>
      </w:r>
    </w:p>
    <w:p>
      <w:pPr>
        <w:pStyle w:val="ListBullet"/>
        <w:keepLines w:val="1"/>
        <w:keepNext w:val="1"/>
        <w:widowControl w:val="1"/>
      </w:pPr>
      <w:r>
        <w:t>Gráfico relacionando IGM con estimaciones de ROI o reducción de costes por incidentes.</w:t>
      </w:r>
    </w:p>
    <w:p>
      <w:pPr>
        <w:pStyle w:val="ListBullet"/>
        <w:keepLines w:val="1"/>
        <w:widowControl w:val="1"/>
      </w:pPr>
      <w:r>
        <w:t>Mensaje claro: “invertir en madurez TRIKE no es un lujo, sino una estrategia de reducción de pérdidas y de cumplimiento”.</w:t>
      </w:r>
    </w:p>
    <w:p>
      <w:pPr>
        <w:pStyle w:val="Heading3"/>
        <w:keepNext/>
        <w:keepLines/>
      </w:pPr>
      <w:r>
        <w:t>Diapositiva 13 – Brechas y obstáculos</w:t>
      </w:r>
    </w:p>
    <w:p>
      <w:pPr>
        <w:pStyle w:val="ListBullet"/>
        <w:keepLines w:val="1"/>
        <w:keepNext w:val="1"/>
        <w:widowControl w:val="1"/>
      </w:pPr>
      <w:r>
        <w:t>Ranking de obstáculos más frecuentes (P7.1).</w:t>
      </w:r>
    </w:p>
    <w:p>
      <w:pPr>
        <w:pStyle w:val="ListBullet"/>
        <w:keepLines w:val="1"/>
        <w:keepNext w:val="1"/>
        <w:widowControl w:val="1"/>
      </w:pPr>
      <w:r>
        <w:t>Relación con barreras estructurales (talento, presupuesto, cultura, complejidad regulatoria).</w:t>
      </w:r>
    </w:p>
    <w:p>
      <w:pPr>
        <w:pStyle w:val="ListBullet"/>
        <w:keepLines w:val="1"/>
        <w:widowControl w:val="1"/>
      </w:pPr>
      <w:r>
        <w:t>Comentario sobre posibles líneas de apoyo (políticas públicas, colaboraciones sectoriales, etc.).</w:t>
      </w:r>
    </w:p>
    <w:p>
      <w:pPr>
        <w:pStyle w:val="Heading3"/>
        <w:keepNext/>
        <w:keepLines/>
      </w:pPr>
      <w:r>
        <w:t>Diapositiva 14 – Prioridades de mejora</w:t>
      </w:r>
    </w:p>
    <w:p>
      <w:pPr>
        <w:pStyle w:val="ListBullet"/>
        <w:keepLines w:val="1"/>
        <w:keepNext w:val="1"/>
        <w:widowControl w:val="1"/>
      </w:pPr>
      <w:r>
        <w:t>Resultados agregados de P7.2: dimensión TRIKE prioritaria.</w:t>
      </w:r>
    </w:p>
    <w:p>
      <w:pPr>
        <w:pStyle w:val="ListBullet"/>
        <w:keepLines w:val="1"/>
        <w:keepNext w:val="1"/>
        <w:widowControl w:val="1"/>
      </w:pPr>
      <w:r>
        <w:t>Tabla breve de “acciones recomendadas” por dimensión (alto nivel).</w:t>
      </w:r>
    </w:p>
    <w:p>
      <w:pPr>
        <w:pStyle w:val="ListBullet"/>
        <w:keepLines w:val="1"/>
        <w:widowControl w:val="1"/>
      </w:pPr>
      <w:r>
        <w:t>Mensaje propositivo, evitando el apocalipsis como estilo comunicativo.</w:t>
      </w:r>
    </w:p>
    <w:p>
      <w:pPr>
        <w:pStyle w:val="Heading3"/>
        <w:keepNext/>
        <w:keepLines/>
      </w:pPr>
      <w:r>
        <w:t>Diapositiva 15 – Roadmap de siguiente pasos</w:t>
      </w:r>
    </w:p>
    <w:p>
      <w:pPr>
        <w:pStyle w:val="ListBullet"/>
        <w:keepLines w:val="1"/>
        <w:keepNext w:val="1"/>
        <w:widowControl w:val="1"/>
      </w:pPr>
      <w:r>
        <w:t>Propuesta de horizontes (0–12 meses, 12–24, 24–36).</w:t>
      </w:r>
    </w:p>
    <w:p>
      <w:pPr>
        <w:pStyle w:val="ListBullet"/>
        <w:keepLines w:val="1"/>
        <w:keepNext w:val="1"/>
        <w:widowControl w:val="1"/>
      </w:pPr>
      <w:r>
        <w:t>Acciones sugeridas: profundizar en modelado de amenazas, fortalecer capacidades de conocimiento, mejorar evaluación y reporting a dirección, etc.</w:t>
      </w:r>
    </w:p>
    <w:p>
      <w:pPr>
        <w:pStyle w:val="ListBullet"/>
        <w:keepLines w:val="1"/>
        <w:widowControl w:val="1"/>
      </w:pPr>
      <w:r>
        <w:t>Posibles proyectos piloto (p.ej. sectoriales, territoriales).</w:t>
      </w:r>
    </w:p>
    <w:p>
      <w:pPr>
        <w:pStyle w:val="Heading3"/>
        <w:keepNext/>
        <w:keepLines/>
      </w:pPr>
      <w:r>
        <w:t>Diapositiva 16 – Conclusión y llamada a la acción</w:t>
      </w:r>
    </w:p>
    <w:p>
      <w:pPr>
        <w:pStyle w:val="ListBullet"/>
        <w:keepLines w:val="1"/>
        <w:keepNext w:val="1"/>
        <w:widowControl w:val="1"/>
      </w:pPr>
      <w:r>
        <w:t>Síntesis de 3 ideas clave.</w:t>
      </w:r>
    </w:p>
    <w:p>
      <w:pPr>
        <w:pStyle w:val="ListBullet"/>
        <w:keepLines w:val="1"/>
        <w:keepNext w:val="1"/>
        <w:widowControl w:val="1"/>
      </w:pPr>
      <w:r>
        <w:t>Recordatorio de que el diagnóstico es punto de partida, no veredicto final.</w:t>
      </w:r>
    </w:p>
    <w:p>
      <w:pPr>
        <w:pStyle w:val="ListBullet"/>
        <w:keepLines w:val="1"/>
        <w:widowControl w:val="1"/>
      </w:pPr>
      <w:r>
        <w:t>Invitación a repetir la medición periódicamente para observar avances.</w:t>
      </w:r>
    </w:p>
    <w:p>
      <w:pPr>
        <w:pStyle w:val="Heading3"/>
        <w:keepNext/>
        <w:keepLines/>
      </w:pPr>
      <w:r>
        <w:t>Anexos (opcionales)</w:t>
      </w:r>
    </w:p>
    <w:p>
      <w:pPr>
        <w:pStyle w:val="ListBullet"/>
        <w:keepLines w:val="1"/>
        <w:keepNext w:val="1"/>
        <w:widowControl w:val="1"/>
      </w:pPr>
      <w:r>
        <w:t>Detalle metodológico (tamaños de muestra, errores, codificación de respuestas).</w:t>
      </w:r>
    </w:p>
    <w:p>
      <w:pPr>
        <w:pStyle w:val="ListBullet"/>
        <w:keepLines w:val="1"/>
        <w:keepNext w:val="1"/>
        <w:widowControl w:val="1"/>
      </w:pPr>
      <w:r>
        <w:t>Glosario TRIKE y normativo.</w:t>
      </w:r>
    </w:p>
    <w:p>
      <w:pPr>
        <w:pStyle w:val="ListBullet"/>
        <w:keepLines w:val="1"/>
        <w:widowControl w:val="1"/>
      </w:pPr>
      <w:r>
        <w:t>Referencias a NIS2, ENISA, guías de ISACA, etc. [web:17][web:20][web:23][web:14][web:25]</w:t>
      </w:r>
    </w:p>
    <w:p>
      <w:r>
        <w:t>Fin de la plantilla.</w:t>
      </w:r>
      <w:r/>
      <w:r>
        <w:br/>
        <w:t>Las diapositivas se pueden adornar con gráficos, pero conviene mantener una regla de oro: “menos fuegos artificiales y más números comprensibles”.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