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TRIKE</w:t>
      </w:r>
    </w:p>
    <w:p>
      <w:pPr>
        <w:pStyle w:val="Heading2"/>
        <w:keepNext/>
        <w:keepLines/>
      </w:pPr>
      <w:r>
        <w:rPr>
          <w:color w:val="0066CC"/>
        </w:rPr>
        <w:t>Versión 1.0</w:t>
      </w:r>
    </w:p>
    <w:p>
      <w:pPr>
        <w:pStyle w:val="Heading3"/>
        <w:keepNext/>
        <w:keepLines/>
      </w:pPr>
      <w:r>
        <w:t>1. ¿Qué es este kit?</w:t>
      </w:r>
    </w:p>
    <w:p>
      <w:r>
        <w:t>Este kit proporciona todo lo necesario para:</w:t>
      </w:r>
    </w:p>
    <w:p>
      <w:pPr>
        <w:pStyle w:val="ListBullet"/>
        <w:keepLines w:val="1"/>
        <w:keepNext w:val="1"/>
        <w:widowControl w:val="1"/>
      </w:pPr>
      <w:r>
        <w:t>Aplicar una encuesta de diagnóstico de madurez en ciberseguridad inspirada en el marco TRIKE (Threat, Risk, Impact, Knowledge, Evaluation).</w:t>
      </w:r>
    </w:p>
    <w:p>
      <w:pPr>
        <w:pStyle w:val="ListBullet"/>
        <w:keepLines w:val="1"/>
        <w:keepNext w:val="1"/>
        <w:widowControl w:val="1"/>
      </w:pPr>
      <w:r>
        <w:t>Alinear la recogida de información con NIS2, la transposición española y guías técnicas de ENISA. [web:17][web:20][web:23]</w:t>
      </w:r>
    </w:p>
    <w:p>
      <w:pPr>
        <w:pStyle w:val="ListBullet"/>
        <w:keepLines w:val="1"/>
        <w:widowControl w:val="1"/>
      </w:pPr>
      <w:r>
        <w:t>Generar indicadores comparables entre organizaciones y sectores, así como estimaciones básicas de ROI.</w:t>
      </w:r>
    </w:p>
    <w:p>
      <w:pPr>
        <w:pStyle w:val="Heading3"/>
        <w:keepNext/>
        <w:keepLines/>
      </w:pPr>
      <w:r>
        <w:t>2. Contenidos</w:t>
      </w:r>
    </w:p>
    <w:p>
      <w:r>
        <w:t>El kit incluye:</w:t>
      </w:r>
    </w:p>
    <w:p>
      <w:pPr>
        <w:pStyle w:val="ListNumber"/>
        <w:keepLines w:val="1"/>
        <w:keepNext w:val="1"/>
        <w:widowControl w:val="1"/>
      </w:pPr>
      <w:r>
        <w:t>a_modelo_encuesta.md – Modelo de encuesta integral.</w:t>
      </w:r>
    </w:p>
    <w:p>
      <w:pPr>
        <w:pStyle w:val="ListNumber"/>
        <w:keepLines w:val="1"/>
        <w:keepNext w:val="1"/>
        <w:widowControl w:val="1"/>
      </w:pPr>
      <w:r>
        <w:t>b_guia_metodologica.md – Guía metodológica para el diseño, aplicación e interpretación.</w:t>
      </w:r>
    </w:p>
    <w:p>
      <w:pPr>
        <w:pStyle w:val="ListNumber"/>
        <w:keepLines w:val="1"/>
        <w:keepNext w:val="1"/>
        <w:widowControl w:val="1"/>
      </w:pPr>
      <w:r>
        <w:t>c_narrativa_explicativa.md – Narrativa para contextualizar la encuesta ante directivos y equipos.</w:t>
      </w:r>
    </w:p>
    <w:p>
      <w:pPr>
        <w:pStyle w:val="ListNumber"/>
        <w:keepLines w:val="1"/>
        <w:keepNext w:val="1"/>
        <w:widowControl w:val="1"/>
      </w:pPr>
      <w:r>
        <w:t>d_mapeo_normativo.md – Mapeo de preguntas a requisitos normativos y marcos de referencia.</w:t>
      </w:r>
    </w:p>
    <w:p>
      <w:pPr>
        <w:pStyle w:val="ListNumber"/>
        <w:keepLines w:val="1"/>
        <w:keepNext w:val="1"/>
        <w:widowControl w:val="1"/>
      </w:pPr>
      <w:r>
        <w:t>e_plantilla_excel_igm_roi.md – Especificación para construir la plantilla de Excel de cálculo de IGM y ROI.</w:t>
      </w:r>
    </w:p>
    <w:p>
      <w:pPr>
        <w:pStyle w:val="ListNumber"/>
        <w:keepLines w:val="1"/>
        <w:keepNext w:val="1"/>
        <w:widowControl w:val="1"/>
      </w:pPr>
      <w:r>
        <w:t>f_plantilla_reporte_ejecutivo_ppt.md – Estructura recomendada de reporte ejecutivo tipo PowerPoint.</w:t>
      </w:r>
    </w:p>
    <w:p>
      <w:pPr>
        <w:pStyle w:val="ListNumber"/>
        <w:keepLines w:val="1"/>
        <w:widowControl w:val="1"/>
      </w:pPr>
      <w:r>
        <w:t>g_README_kit_encuesta.md – Este documento.</w:t>
      </w:r>
    </w:p>
    <w:p>
      <w:pPr>
        <w:pStyle w:val="Heading3"/>
        <w:keepNext/>
        <w:keepLines/>
      </w:pPr>
      <w:r>
        <w:t>3. Cómo empezar</w:t>
      </w:r>
    </w:p>
    <w:p>
      <w:pPr>
        <w:pStyle w:val="ListNumber"/>
        <w:keepLines w:val="1"/>
        <w:keepNext w:val="1"/>
        <w:widowControl w:val="1"/>
      </w:pPr>
      <w:r>
        <w:t>Adaptar el modelo de encuesta a la realidad y vocabulario de su organización, manteniendo el espíritu de las preguntas.</w:t>
      </w:r>
    </w:p>
    <w:p>
      <w:pPr>
        <w:pStyle w:val="ListNumber"/>
        <w:keepLines w:val="1"/>
        <w:keepNext w:val="1"/>
        <w:widowControl w:val="1"/>
      </w:pPr>
      <w:r>
        <w:t>Construir (o adaptar) el formulario en la herramienta elegida (online, papel, entrevistas).</w:t>
      </w:r>
    </w:p>
    <w:p>
      <w:pPr>
        <w:pStyle w:val="ListNumber"/>
        <w:keepLines w:val="1"/>
        <w:keepNext w:val="1"/>
        <w:widowControl w:val="1"/>
      </w:pPr>
      <w:r>
        <w:t>Implementar la plantilla de Excel siguiendo las indicaciones para el cálculo de subíndices TRIKE e IGM.</w:t>
      </w:r>
    </w:p>
    <w:p>
      <w:pPr>
        <w:pStyle w:val="ListNumber"/>
        <w:keepLines w:val="1"/>
        <w:keepNext w:val="1"/>
        <w:widowControl w:val="1"/>
      </w:pPr>
      <w:r>
        <w:t>Definir el plan de recogida y análisis de datos (muestra, calendario, responsables).</w:t>
      </w:r>
    </w:p>
    <w:p>
      <w:pPr>
        <w:pStyle w:val="ListNumber"/>
        <w:keepLines w:val="1"/>
        <w:widowControl w:val="1"/>
      </w:pPr>
      <w:r>
        <w:t>Preparar el reporte ejecutivo con la plantilla propuesta.</w:t>
      </w:r>
    </w:p>
    <w:p>
      <w:pPr>
        <w:pStyle w:val="Heading3"/>
        <w:keepNext/>
        <w:keepLines/>
      </w:pPr>
      <w:r>
        <w:t>4. Personalización y ampliaciones</w:t>
      </w:r>
    </w:p>
    <w:p>
      <w:pPr>
        <w:pStyle w:val="ListBullet"/>
        <w:keepLines w:val="1"/>
        <w:keepNext w:val="1"/>
        <w:widowControl w:val="1"/>
      </w:pPr>
      <w:r>
        <w:t>El mapeo normativo puede completarse con referencias específicas por sector (sanidad, financiero, transporte, etc.).</w:t>
      </w:r>
    </w:p>
    <w:p>
      <w:pPr>
        <w:pStyle w:val="ListBullet"/>
        <w:keepLines w:val="1"/>
        <w:keepNext w:val="1"/>
        <w:widowControl w:val="1"/>
      </w:pPr>
      <w:r>
        <w:t>Las escalas de codificación y los pesos de cada dimensión TRIKE son configurables según el apetito de riesgo y el enfoque estratégico.</w:t>
      </w:r>
    </w:p>
    <w:p>
      <w:pPr>
        <w:pStyle w:val="ListBullet"/>
        <w:keepLines w:val="1"/>
        <w:widowControl w:val="1"/>
      </w:pPr>
      <w:r>
        <w:t>Se pueden añadir módulos específicos (p.ej. Zero Trust, cadena de suministro, IA) manteniendo la estructura general.</w:t>
      </w:r>
    </w:p>
    <w:p>
      <w:pPr>
        <w:pStyle w:val="Heading3"/>
        <w:keepNext/>
        <w:keepLines/>
      </w:pPr>
      <w:r>
        <w:t>5. Licencia de uso conceptual</w:t>
      </w:r>
    </w:p>
    <w:p>
      <w:r>
        <w:t>Puede utilizar, adaptar y maltratar este kit en su organización o consorcio, con una sola condición moral:</w:t>
      </w:r>
      <w:r/>
      <w:r>
        <w:br/>
        <w:t>si encuentra una forma sensiblemente mejor de medir y mejorar la madurez en ciberseguridad, compártala con el ecosistema en lugar de guardarla bajo llave.</w:t>
      </w:r>
    </w:p>
    <w:p>
      <w:pPr>
        <w:pStyle w:val="Heading3"/>
        <w:keepNext/>
        <w:keepLines/>
      </w:pPr>
      <w:r>
        <w:t>6. Descargo de responsabilidad suave pero serio</w:t>
      </w:r>
    </w:p>
    <w:p>
      <w:r>
        <w:t>Este kit no sustituye asesoramiento jurídico ni técnico específico.</w:t>
      </w:r>
      <w:r/>
      <w:r>
        <w:br/>
        <w:t>Su uso no garantiza por sí solo el cumplimiento de NIS2, ENS, RGPD u otras normas, aunque puede ser un paso razonable hacia entender dónde están las brechas. [web:17][web:23]</w:t>
      </w:r>
    </w:p>
    <w:p>
      <w:r>
        <w:t>La responsabilidad última de interpretar y actuar sobre los resultados recae, inevitablemente, en quienes tienen la firma, el presupuesto… y la capacidad de cambiar las cosas.</w:t>
      </w:r>
    </w:p>
    <w:p>
      <w: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