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</w:t>
      </w:r>
    </w:p>
    <w:p>
      <w:pPr>
        <w:pStyle w:val="Heading2"/>
        <w:keepNext/>
        <w:keepLines/>
      </w:pPr>
      <w:r>
        <w:rPr>
          <w:color w:val="0066CC"/>
        </w:rPr>
        <w:t>Cálculo del Índice Global de Madurez (IGM) y ROI de Cumplimiento</w:t>
      </w:r>
    </w:p>
    <w:p>
      <w:r>
        <w:t>Este documento describe cómo estructurar una hoja de cálculo para:</w:t>
      </w:r>
    </w:p>
    <w:p>
      <w:pPr>
        <w:pStyle w:val="ListNumber"/>
        <w:keepLines w:val="1"/>
        <w:keepNext w:val="1"/>
        <w:widowControl w:val="1"/>
      </w:pPr>
      <w:r>
        <w:t>Calcular el IGM a partir de las respuestas de la encuesta.</w:t>
      </w:r>
    </w:p>
    <w:p>
      <w:pPr>
        <w:pStyle w:val="ListNumber"/>
        <w:keepLines w:val="1"/>
        <w:widowControl w:val="1"/>
      </w:pPr>
      <w:r>
        <w:t>Estimar el ROI de iniciativas de seguridad y cumplimiento.</w:t>
      </w:r>
    </w:p>
    <w:p>
      <w:pPr>
        <w:pStyle w:val="Heading2"/>
        <w:keepNext/>
        <w:keepLines/>
      </w:pPr>
      <w:r>
        <w:rPr>
          <w:color w:val="0066CC"/>
        </w:rPr>
        <w:t>1. Estructura general del libro Excel</w:t>
      </w:r>
    </w:p>
    <w:p>
      <w:r>
        <w:t>Se recomienda crear, como mínimo, las siguientes hojas:</w:t>
      </w:r>
    </w:p>
    <w:p>
      <w:pPr>
        <w:pStyle w:val="ListBullet"/>
        <w:keepLines w:val="1"/>
        <w:keepNext w:val="1"/>
        <w:widowControl w:val="1"/>
      </w:pPr>
      <w:r>
        <w:t>Respuestas</w:t>
      </w:r>
    </w:p>
    <w:p>
      <w:pPr>
        <w:pStyle w:val="ListBullet"/>
        <w:keepLines w:val="1"/>
        <w:keepNext w:val="1"/>
        <w:widowControl w:val="1"/>
      </w:pPr>
      <w:r>
        <w:t>Escalas</w:t>
      </w:r>
    </w:p>
    <w:p>
      <w:pPr>
        <w:pStyle w:val="ListBullet"/>
        <w:keepLines w:val="1"/>
        <w:keepNext w:val="1"/>
        <w:widowControl w:val="1"/>
      </w:pPr>
      <w:r>
        <w:t>IGM</w:t>
      </w:r>
    </w:p>
    <w:p>
      <w:pPr>
        <w:pStyle w:val="ListBullet"/>
        <w:keepLines w:val="1"/>
        <w:widowControl w:val="1"/>
      </w:pPr>
      <w:r>
        <w:t>ROI</w:t>
      </w:r>
    </w:p>
    <w:p>
      <w:pPr>
        <w:pStyle w:val="Heading3"/>
        <w:keepNext/>
        <w:keepLines/>
      </w:pPr>
      <w:r>
        <w:t>1.1. Hoja Respuestas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A: Nº de pregunta</w:t>
      </w:r>
    </w:p>
    <w:p>
      <w:pPr>
        <w:pStyle w:val="ListBullet"/>
        <w:keepLines w:val="1"/>
        <w:keepNext w:val="1"/>
        <w:widowControl w:val="1"/>
      </w:pPr>
      <w:r>
        <w:t>B: Código de pregunta (p. ej. GOB_1_1_1)</w:t>
      </w:r>
    </w:p>
    <w:p>
      <w:pPr>
        <w:pStyle w:val="ListBullet"/>
        <w:keepLines w:val="1"/>
        <w:keepNext w:val="1"/>
        <w:widowControl w:val="1"/>
      </w:pPr>
      <w:r>
        <w:t>C: Bloque (Gobernanza, Riesgo, etc.)</w:t>
      </w:r>
    </w:p>
    <w:p>
      <w:pPr>
        <w:pStyle w:val="ListBullet"/>
        <w:keepLines w:val="1"/>
        <w:keepNext w:val="1"/>
        <w:widowControl w:val="1"/>
      </w:pPr>
      <w:r>
        <w:t>D: Texto abreviado de la pregunta</w:t>
      </w:r>
    </w:p>
    <w:p>
      <w:pPr>
        <w:pStyle w:val="ListBullet"/>
        <w:keepLines w:val="1"/>
        <w:keepNext w:val="1"/>
        <w:widowControl w:val="1"/>
      </w:pPr>
      <w:r>
        <w:t>E: Respuesta seleccionada (texto)</w:t>
      </w:r>
    </w:p>
    <w:p>
      <w:pPr>
        <w:pStyle w:val="ListBullet"/>
        <w:keepLines w:val="1"/>
        <w:widowControl w:val="1"/>
      </w:pPr>
      <w:r>
        <w:t>F: Valor numérico asignado (0–1)</w:t>
      </w:r>
    </w:p>
    <w:p>
      <w:r>
        <w:t>Cada fila corresponde a una pregunta de la encuesta.</w:t>
      </w:r>
    </w:p>
    <w:p>
      <w:pPr>
        <w:pStyle w:val="Heading3"/>
        <w:keepNext/>
        <w:keepLines/>
      </w:pPr>
      <w:r>
        <w:t>1.2. Hoja Escalas</w:t>
      </w:r>
    </w:p>
    <w:p>
      <w:r>
        <w:t>Definir tablas de mapeo entre respuestas y valores:</w:t>
      </w:r>
    </w:p>
    <w:p>
      <w:r>
        <w:t>Ejemplo tabla tipo (para preguntas de madurez con 5 opciones):</w:t>
      </w:r>
    </w:p>
    <w:p>
      <w:pPr>
        <w:pStyle w:val="ListBullet"/>
        <w:keepLines w:val="1"/>
        <w:keepNext w:val="1"/>
        <w:widowControl w:val="1"/>
      </w:pPr>
      <w:r>
        <w:t>Columna A: Bloque / Tipo de pregunta</w:t>
      </w:r>
    </w:p>
    <w:p>
      <w:pPr>
        <w:pStyle w:val="ListBullet"/>
        <w:keepLines w:val="1"/>
        <w:keepNext w:val="1"/>
        <w:widowControl w:val="1"/>
      </w:pPr>
      <w:r>
        <w:t>Columna B: Opción de respuesta (texto exacto)</w:t>
      </w:r>
    </w:p>
    <w:p>
      <w:pPr>
        <w:pStyle w:val="ListBullet"/>
        <w:keepLines w:val="1"/>
        <w:widowControl w:val="1"/>
      </w:pPr>
      <w:r>
        <w:t>Columna C: Valor de madurez (0; 0,25; 0,5; 0,75; 1)</w:t>
      </w:r>
    </w:p>
    <w:p>
      <w:r>
        <w:t>Para preguntas de porcentaje:</w:t>
      </w:r>
    </w:p>
    <w:p>
      <w:pPr>
        <w:pStyle w:val="ListBullet"/>
        <w:keepLines w:val="1"/>
        <w:keepNext w:val="1"/>
        <w:widowControl w:val="1"/>
      </w:pPr>
      <w:r>
        <w:t>0–25 % → 0,125</w:t>
      </w:r>
    </w:p>
    <w:p>
      <w:pPr>
        <w:pStyle w:val="ListBullet"/>
        <w:keepLines w:val="1"/>
        <w:keepNext w:val="1"/>
        <w:widowControl w:val="1"/>
      </w:pPr>
      <w:r>
        <w:t>26–50 % → 0,375</w:t>
      </w:r>
    </w:p>
    <w:p>
      <w:pPr>
        <w:pStyle w:val="ListBullet"/>
        <w:keepLines w:val="1"/>
        <w:keepNext w:val="1"/>
        <w:widowControl w:val="1"/>
      </w:pPr>
      <w:r>
        <w:t>51–75 % → 0,625</w:t>
      </w:r>
    </w:p>
    <w:p>
      <w:pPr>
        <w:pStyle w:val="ListBullet"/>
        <w:keepLines w:val="1"/>
        <w:keepNext w:val="1"/>
        <w:widowControl w:val="1"/>
      </w:pPr>
      <w:r>
        <w:t>76–95 % → 0,855</w:t>
      </w:r>
    </w:p>
    <w:p>
      <w:pPr>
        <w:pStyle w:val="ListBullet"/>
        <w:keepLines w:val="1"/>
        <w:widowControl w:val="1"/>
      </w:pPr>
      <w:r>
        <w:t>96–100 % → 0,98</w:t>
      </w:r>
    </w:p>
    <w:p>
      <w:r>
        <w:t xml:space="preserve">Usar </w:t>
      </w:r>
      <w:r>
        <w:rPr>
          <w:rFonts w:ascii="Courier New" w:hAnsi="Courier New"/>
          <w:sz w:val="18"/>
        </w:rPr>
        <w:t>BUSCARV</w:t>
      </w:r>
      <w:r>
        <w:t>/</w:t>
      </w:r>
      <w:r>
        <w:rPr>
          <w:rFonts w:ascii="Courier New" w:hAnsi="Courier New"/>
          <w:sz w:val="18"/>
        </w:rPr>
        <w:t>XLOOKUP</w:t>
      </w:r>
      <w:r>
        <w:t xml:space="preserve"> para convertir texto en valor numérico.</w:t>
      </w:r>
    </w:p>
    <w:p>
      <w:pPr>
        <w:pStyle w:val="Heading2"/>
        <w:keepNext/>
        <w:keepLines/>
      </w:pPr>
      <w:r>
        <w:rPr>
          <w:color w:val="0066CC"/>
        </w:rPr>
        <w:t>2. Hoja IGM – Cálculo del Índice Global de Madurez</w:t>
      </w:r>
    </w:p>
    <w:p>
      <w:pPr>
        <w:pStyle w:val="Heading3"/>
        <w:keepNext/>
        <w:keepLines/>
      </w:pPr>
      <w:r>
        <w:t>2.1. Definir pesos por bloque</w:t>
      </w:r>
    </w:p>
    <w:p>
      <w:r>
        <w:t>Crear tabla:</w:t>
      </w:r>
    </w:p>
    <w:p>
      <w:pPr>
        <w:pStyle w:val="ListBullet"/>
        <w:keepLines w:val="1"/>
        <w:keepNext w:val="1"/>
        <w:widowControl w:val="1"/>
      </w:pPr>
      <w:r>
        <w:t>Columna A: Bloque (Gobernanza, Riesgo_EIPD, Medidas_Técnicas, Brechas, Terceros, Formación, Métricas, Resultados_Regulatorios, Innovación_IA)</w:t>
      </w:r>
    </w:p>
    <w:p>
      <w:pPr>
        <w:pStyle w:val="ListBullet"/>
        <w:keepLines w:val="1"/>
        <w:widowControl w:val="1"/>
      </w:pPr>
      <w:r>
        <w:t>Columna B: Peso (suma 1)</w:t>
      </w:r>
    </w:p>
    <w:p>
      <w:r>
        <w:t>Ejemplo:</w:t>
      </w:r>
    </w:p>
    <w:p>
      <w:pPr>
        <w:pStyle w:val="ListBullet"/>
        <w:keepLines w:val="1"/>
        <w:keepNext w:val="1"/>
        <w:widowControl w:val="1"/>
      </w:pPr>
      <w:r>
        <w:t>Gobernanza: 0,15</w:t>
      </w:r>
    </w:p>
    <w:p>
      <w:pPr>
        <w:pStyle w:val="ListBullet"/>
        <w:keepLines w:val="1"/>
        <w:keepNext w:val="1"/>
        <w:widowControl w:val="1"/>
      </w:pPr>
      <w:r>
        <w:t>Riesgo_EIPD: 0,15</w:t>
      </w:r>
    </w:p>
    <w:p>
      <w:pPr>
        <w:pStyle w:val="ListBullet"/>
        <w:keepLines w:val="1"/>
        <w:keepNext w:val="1"/>
        <w:widowControl w:val="1"/>
      </w:pPr>
      <w:r>
        <w:t>Medidas_Técnicas: 0,20</w:t>
      </w:r>
    </w:p>
    <w:p>
      <w:pPr>
        <w:pStyle w:val="ListBullet"/>
        <w:keepLines w:val="1"/>
        <w:keepNext w:val="1"/>
        <w:widowControl w:val="1"/>
      </w:pPr>
      <w:r>
        <w:t>Brechas: 0,15</w:t>
      </w:r>
    </w:p>
    <w:p>
      <w:pPr>
        <w:pStyle w:val="ListBullet"/>
        <w:keepLines w:val="1"/>
        <w:keepNext w:val="1"/>
        <w:widowControl w:val="1"/>
      </w:pPr>
      <w:r>
        <w:t>Terceros: 0,10</w:t>
      </w:r>
    </w:p>
    <w:p>
      <w:pPr>
        <w:pStyle w:val="ListBullet"/>
        <w:keepLines w:val="1"/>
        <w:keepNext w:val="1"/>
        <w:widowControl w:val="1"/>
      </w:pPr>
      <w:r>
        <w:t>Formación: 0,10</w:t>
      </w:r>
    </w:p>
    <w:p>
      <w:pPr>
        <w:pStyle w:val="ListBullet"/>
        <w:keepLines w:val="1"/>
        <w:keepNext w:val="1"/>
        <w:widowControl w:val="1"/>
      </w:pPr>
      <w:r>
        <w:t>Métricas: 0,10</w:t>
      </w:r>
    </w:p>
    <w:p>
      <w:pPr>
        <w:pStyle w:val="ListBullet"/>
        <w:keepLines w:val="1"/>
        <w:keepNext w:val="1"/>
        <w:widowControl w:val="1"/>
      </w:pPr>
      <w:r>
        <w:t>Resultados_Regulatorios: 0,03</w:t>
      </w:r>
    </w:p>
    <w:p>
      <w:pPr>
        <w:pStyle w:val="ListBullet"/>
        <w:keepLines w:val="1"/>
        <w:widowControl w:val="1"/>
      </w:pPr>
      <w:r>
        <w:t>Innovación_IA: 0,02</w:t>
      </w:r>
    </w:p>
    <w:p>
      <w:pPr>
        <w:pStyle w:val="Heading3"/>
        <w:keepNext/>
        <w:keepLines/>
      </w:pPr>
      <w:r>
        <w:t>2.2. Cálculo de medias por bloque</w:t>
      </w:r>
    </w:p>
    <w:p>
      <w:r>
        <w:t>Por cada bloque:</w:t>
      </w:r>
    </w:p>
    <w:p>
      <w:pPr>
        <w:pStyle w:val="ListBullet"/>
        <w:keepLines w:val="1"/>
        <w:keepNext w:val="1"/>
        <w:widowControl w:val="1"/>
      </w:pPr>
      <w:r>
        <w:t>Filtrar filas de Respuestas por bloque.</w:t>
      </w:r>
    </w:p>
    <w:p>
      <w:pPr>
        <w:pStyle w:val="ListBullet"/>
        <w:keepLines w:val="1"/>
        <w:widowControl w:val="1"/>
      </w:pPr>
      <w:r>
        <w:t>Calcular la media de la columna F (valor numérico).</w:t>
      </w:r>
    </w:p>
    <w:p>
      <w:r>
        <w:t xml:space="preserve">Ejemplo de fórmula (si valores están en </w:t>
      </w:r>
      <w:r>
        <w:rPr>
          <w:rFonts w:ascii="Courier New" w:hAnsi="Courier New"/>
          <w:sz w:val="18"/>
        </w:rPr>
        <w:t>Respuestas!F:F</w:t>
      </w:r>
      <w:r>
        <w:t xml:space="preserve"> y bloques en </w:t>
      </w:r>
      <w:r>
        <w:rPr>
          <w:rFonts w:ascii="Courier New" w:hAnsi="Courier New"/>
          <w:sz w:val="18"/>
        </w:rPr>
        <w:t>Respuestas!C:C</w:t>
      </w:r>
      <w:r>
        <w:t>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=PROMEDIO.SI(Respuestas!C:C;"Gobernanza";Respuestas!F:F)</w:t>
        <w:br/>
      </w:r>
    </w:p>
    <w:p>
      <w:r>
        <w:t>Repetir para cada bloque.</w:t>
      </w:r>
    </w:p>
    <w:p>
      <w:pPr>
        <w:pStyle w:val="Heading3"/>
        <w:keepNext/>
        <w:keepLines/>
      </w:pPr>
      <w:r>
        <w:t>2.3. Cálculo del IGM global</w:t>
      </w:r>
    </w:p>
    <w:p>
      <w:r>
        <w:t xml:space="preserve">En la hoja </w:t>
      </w:r>
      <w:r>
        <w:rPr>
          <w:rFonts w:ascii="Courier New" w:hAnsi="Courier New"/>
          <w:sz w:val="18"/>
        </w:rPr>
        <w:t>IGM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Para cada bloque, multiplicar media del bloque × peso.</w:t>
      </w:r>
    </w:p>
    <w:p>
      <w:pPr>
        <w:pStyle w:val="ListBullet"/>
        <w:keepLines w:val="1"/>
        <w:widowControl w:val="1"/>
      </w:pPr>
      <w:r>
        <w:t>Sumar todos los productos.</w:t>
      </w:r>
    </w:p>
    <w:p>
      <w: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=SUMA(Media_Gobernanza*Peso_Gobernanza;</w:t>
        <w:br/>
        <w:t xml:space="preserve">      Media_Riesgo*Peso_Riesgo;</w:t>
        <w:br/>
        <w:t xml:space="preserve">      ... ;</w:t>
        <w:br/>
        <w:t xml:space="preserve">      Media_Innovacion*Peso_Innovacion)</w:t>
        <w:br/>
      </w:r>
    </w:p>
    <w:p>
      <w:r>
        <w:t>Convertir el resultado a porcentaje (0–100 %) para presentación.</w:t>
      </w:r>
    </w:p>
    <w:p>
      <w:pPr>
        <w:pStyle w:val="Heading3"/>
        <w:keepNext/>
        <w:keepLines/>
      </w:pPr>
      <w:r>
        <w:t>2.4. Niveles de madurez</w:t>
      </w:r>
    </w:p>
    <w:p>
      <w:r>
        <w:t>Definir una tabla de interpretación:</w:t>
      </w:r>
    </w:p>
    <w:p>
      <w:pPr>
        <w:pStyle w:val="ListBullet"/>
        <w:keepLines w:val="1"/>
        <w:keepNext w:val="1"/>
        <w:widowControl w:val="1"/>
      </w:pPr>
      <w:r>
        <w:t>0–24 %: Reactivo</w:t>
      </w:r>
    </w:p>
    <w:p>
      <w:pPr>
        <w:pStyle w:val="ListBullet"/>
        <w:keepLines w:val="1"/>
        <w:keepNext w:val="1"/>
        <w:widowControl w:val="1"/>
      </w:pPr>
      <w:r>
        <w:t>25–49 %: Básico</w:t>
      </w:r>
    </w:p>
    <w:p>
      <w:pPr>
        <w:pStyle w:val="ListBullet"/>
        <w:keepLines w:val="1"/>
        <w:keepNext w:val="1"/>
        <w:widowControl w:val="1"/>
      </w:pPr>
      <w:r>
        <w:t>50–69 %: Intermedio</w:t>
      </w:r>
    </w:p>
    <w:p>
      <w:pPr>
        <w:pStyle w:val="ListBullet"/>
        <w:keepLines w:val="1"/>
        <w:keepNext w:val="1"/>
        <w:widowControl w:val="1"/>
      </w:pPr>
      <w:r>
        <w:t>70–84 %: Avanzado</w:t>
      </w:r>
    </w:p>
    <w:p>
      <w:pPr>
        <w:pStyle w:val="ListBullet"/>
        <w:keepLines w:val="1"/>
        <w:widowControl w:val="1"/>
      </w:pPr>
      <w:r>
        <w:t>85–100 %: Líder</w:t>
      </w:r>
    </w:p>
    <w:p>
      <w:r>
        <w:t xml:space="preserve">Usar </w:t>
      </w:r>
      <w:r>
        <w:rPr>
          <w:rFonts w:ascii="Courier New" w:hAnsi="Courier New"/>
          <w:sz w:val="18"/>
        </w:rPr>
        <w:t>SI</w:t>
      </w:r>
      <w:r>
        <w:t xml:space="preserve"> anidados o </w:t>
      </w:r>
      <w:r>
        <w:rPr>
          <w:rFonts w:ascii="Courier New" w:hAnsi="Courier New"/>
          <w:sz w:val="18"/>
        </w:rPr>
        <w:t>BUSCARV</w:t>
      </w:r>
      <w:r>
        <w:t xml:space="preserve"> para devolver la etiqueta de nivel a partir del IGM.</w:t>
      </w:r>
    </w:p>
    <w:p>
      <w:pPr>
        <w:pStyle w:val="Heading2"/>
        <w:keepNext/>
        <w:keepLines/>
      </w:pPr>
      <w:r>
        <w:rPr>
          <w:color w:val="0066CC"/>
        </w:rPr>
        <w:t>3. Hoja ROI – Cálculo de retorno de la inversión</w:t>
      </w:r>
    </w:p>
    <w:p>
      <w:r>
        <w:t>El ROI se calculará por iniciativa o conjunto de iniciativas.</w:t>
      </w:r>
    </w:p>
    <w:p>
      <w:pPr>
        <w:pStyle w:val="Heading3"/>
        <w:keepNext/>
        <w:keepLines/>
      </w:pPr>
      <w:r>
        <w:t>3.1. Estructura de tabla por iniciativa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A: ID de iniciativa</w:t>
      </w:r>
    </w:p>
    <w:p>
      <w:pPr>
        <w:pStyle w:val="ListBullet"/>
        <w:keepLines w:val="1"/>
        <w:keepNext w:val="1"/>
        <w:widowControl w:val="1"/>
      </w:pPr>
      <w:r>
        <w:t>B: Descripción (p. ej. “Implantación de MFA completa”)</w:t>
      </w:r>
    </w:p>
    <w:p>
      <w:pPr>
        <w:pStyle w:val="ListBullet"/>
        <w:keepLines w:val="1"/>
        <w:keepNext w:val="1"/>
        <w:widowControl w:val="1"/>
      </w:pPr>
      <w:r>
        <w:t>C: Bloques afectados (p. ej. Medidas_Técnicas, Brechas)</w:t>
      </w:r>
    </w:p>
    <w:p>
      <w:pPr>
        <w:pStyle w:val="ListBullet"/>
        <w:keepLines w:val="1"/>
        <w:keepNext w:val="1"/>
        <w:widowControl w:val="1"/>
      </w:pPr>
      <w:r>
        <w:t>D: Coste de inversión inicial (CAPEX)</w:t>
      </w:r>
    </w:p>
    <w:p>
      <w:pPr>
        <w:pStyle w:val="ListBullet"/>
        <w:keepLines w:val="1"/>
        <w:keepNext w:val="1"/>
        <w:widowControl w:val="1"/>
      </w:pPr>
      <w:r>
        <w:t>E: Coste operativo anual (OPEX)</w:t>
      </w:r>
    </w:p>
    <w:p>
      <w:pPr>
        <w:pStyle w:val="ListBullet"/>
        <w:keepLines w:val="1"/>
        <w:keepNext w:val="1"/>
        <w:widowControl w:val="1"/>
      </w:pPr>
      <w:r>
        <w:t>F: Horizonte temporal (años)</w:t>
      </w:r>
    </w:p>
    <w:p>
      <w:pPr>
        <w:pStyle w:val="ListBullet"/>
        <w:keepLines w:val="1"/>
        <w:keepNext w:val="1"/>
        <w:widowControl w:val="1"/>
      </w:pPr>
      <w:r>
        <w:t>G: Probabilidad de incidente antes de la iniciativa</w:t>
      </w:r>
    </w:p>
    <w:p>
      <w:pPr>
        <w:pStyle w:val="ListBullet"/>
        <w:keepLines w:val="1"/>
        <w:keepNext w:val="1"/>
        <w:widowControl w:val="1"/>
      </w:pPr>
      <w:r>
        <w:t>H: Probabilidad de incidente después de la iniciativa</w:t>
      </w:r>
    </w:p>
    <w:p>
      <w:pPr>
        <w:pStyle w:val="ListBullet"/>
        <w:keepLines w:val="1"/>
        <w:keepNext w:val="1"/>
        <w:widowControl w:val="1"/>
      </w:pPr>
      <w:r>
        <w:t>I: Impacto medio de incidente (monetario)</w:t>
      </w:r>
    </w:p>
    <w:p>
      <w:pPr>
        <w:pStyle w:val="ListBullet"/>
        <w:keepLines w:val="1"/>
        <w:keepNext w:val="1"/>
        <w:widowControl w:val="1"/>
      </w:pPr>
      <w:r>
        <w:t>J: Nº esperado de incidentes antes (por año) = G * 1 (o volumen)</w:t>
      </w:r>
    </w:p>
    <w:p>
      <w:pPr>
        <w:pStyle w:val="ListBullet"/>
        <w:keepLines w:val="1"/>
        <w:keepNext w:val="1"/>
        <w:widowControl w:val="1"/>
      </w:pPr>
      <w:r>
        <w:t>K: Nº esperado de incidentes después (por año) = H * 1</w:t>
      </w:r>
    </w:p>
    <w:p>
      <w:pPr>
        <w:pStyle w:val="ListBullet"/>
        <w:keepLines w:val="1"/>
        <w:keepNext w:val="1"/>
        <w:widowControl w:val="1"/>
      </w:pPr>
      <w:r>
        <w:t>L: Coste esperado anual antes = J * I</w:t>
      </w:r>
    </w:p>
    <w:p>
      <w:pPr>
        <w:pStyle w:val="ListBullet"/>
        <w:keepLines w:val="1"/>
        <w:keepNext w:val="1"/>
        <w:widowControl w:val="1"/>
      </w:pPr>
      <w:r>
        <w:t>M: Coste esperado anual después = K * I</w:t>
      </w:r>
    </w:p>
    <w:p>
      <w:pPr>
        <w:pStyle w:val="ListBullet"/>
        <w:keepLines w:val="1"/>
        <w:keepNext w:val="1"/>
        <w:widowControl w:val="1"/>
      </w:pPr>
      <w:r>
        <w:t>N: Ahorro anual esperado = L – M</w:t>
      </w:r>
    </w:p>
    <w:p>
      <w:pPr>
        <w:pStyle w:val="ListBullet"/>
        <w:keepLines w:val="1"/>
        <w:keepNext w:val="1"/>
        <w:widowControl w:val="1"/>
      </w:pPr>
      <w:r>
        <w:t>O: Ahorro total horizonte = N * F</w:t>
      </w:r>
    </w:p>
    <w:p>
      <w:pPr>
        <w:pStyle w:val="ListBullet"/>
        <w:keepLines w:val="1"/>
        <w:keepNext w:val="1"/>
        <w:widowControl w:val="1"/>
      </w:pPr>
      <w:r>
        <w:t>P: Coste total horizonte = D + (E * F)</w:t>
      </w:r>
    </w:p>
    <w:p>
      <w:pPr>
        <w:pStyle w:val="ListBullet"/>
        <w:keepLines w:val="1"/>
        <w:widowControl w:val="1"/>
      </w:pPr>
      <w:r>
        <w:t>Q: ROI = (O – P) / P</w:t>
      </w:r>
    </w:p>
    <w:p>
      <w:pPr>
        <w:pStyle w:val="Heading3"/>
        <w:keepNext/>
        <w:keepLines/>
      </w:pPr>
      <w:r>
        <w:t>3.2. Estimación de probabilidades e impactos</w:t>
      </w:r>
    </w:p>
    <w:p>
      <w:r>
        <w:t>Las probabilidades y el impacto pueden basarse en:</w:t>
      </w:r>
    </w:p>
    <w:p>
      <w:pPr>
        <w:pStyle w:val="ListBullet"/>
        <w:keepLines w:val="1"/>
        <w:keepNext w:val="1"/>
        <w:widowControl w:val="1"/>
      </w:pPr>
      <w:r>
        <w:t>Históricos internos (nº de incidentes/año, coste medio). [web:12]</w:t>
      </w:r>
    </w:p>
    <w:p>
      <w:pPr>
        <w:pStyle w:val="ListBullet"/>
        <w:keepLines w:val="1"/>
        <w:keepNext w:val="1"/>
        <w:widowControl w:val="1"/>
      </w:pPr>
      <w:r>
        <w:t>Benchmarks sectoriales (informes de brechas y costes). [web:12]</w:t>
      </w:r>
    </w:p>
    <w:p>
      <w:pPr>
        <w:pStyle w:val="ListBullet"/>
        <w:keepLines w:val="1"/>
        <w:widowControl w:val="1"/>
      </w:pPr>
      <w:r>
        <w:t>Juicio experto (consenso de CISO, DPO, Riesgos).</w:t>
      </w:r>
    </w:p>
    <w:p>
      <w:r>
        <w:t>Ejemplo sencillo:</w:t>
      </w:r>
    </w:p>
    <w:p>
      <w:pPr>
        <w:pStyle w:val="ListBullet"/>
        <w:keepLines w:val="1"/>
        <w:keepNext w:val="1"/>
        <w:widowControl w:val="1"/>
      </w:pPr>
      <w:r>
        <w:t>Antes de MFA: probabilidad anual de intrusión con acceso a datos = 0,20.</w:t>
      </w:r>
    </w:p>
    <w:p>
      <w:pPr>
        <w:pStyle w:val="ListBullet"/>
        <w:keepLines w:val="1"/>
        <w:widowControl w:val="1"/>
      </w:pPr>
      <w:r>
        <w:t>Después de MFA: probabilidad reducida a 0,05.</w:t>
      </w:r>
    </w:p>
    <w:p>
      <w:r>
        <w:t>Con un impacto medio estimado de 500.000 €, el ahorro anual esperado</w:t>
      </w:r>
      <w:r/>
      <w:r>
        <w:br/>
        <w:t>es significativo.</w:t>
      </w:r>
    </w:p>
    <w:p>
      <w:pPr>
        <w:pStyle w:val="Heading3"/>
        <w:keepNext/>
        <w:keepLines/>
      </w:pPr>
      <w:r>
        <w:t>3.3. Relación con el IGM</w:t>
      </w:r>
    </w:p>
    <w:p>
      <w:r>
        <w:t>Opcionalmente, se puede:</w:t>
      </w:r>
    </w:p>
    <w:p>
      <w:pPr>
        <w:pStyle w:val="ListBullet"/>
        <w:keepLines w:val="1"/>
        <w:keepNext w:val="1"/>
        <w:widowControl w:val="1"/>
      </w:pPr>
      <w:r>
        <w:t>Registrar el IGM antes y después de la iniciativa.</w:t>
      </w:r>
    </w:p>
    <w:p>
      <w:pPr>
        <w:pStyle w:val="ListBullet"/>
        <w:keepLines w:val="1"/>
        <w:keepNext w:val="1"/>
        <w:widowControl w:val="1"/>
      </w:pPr>
      <w:r>
        <w:t>Estimar cuánto aumenta el IGM por bloque.</w:t>
      </w:r>
    </w:p>
    <w:p>
      <w:pPr>
        <w:pStyle w:val="ListBullet"/>
        <w:keepLines w:val="1"/>
        <w:widowControl w:val="1"/>
      </w:pPr>
      <w:r>
        <w:t>Relacionar aumento de IGM con reducción de riesgo y ROI.</w:t>
      </w:r>
    </w:p>
    <w:p>
      <w:r>
        <w:t>Esto permite construir narrativas del tipo:</w:t>
      </w:r>
      <w:r/>
      <w:r>
        <w:br/>
        <w:t>“Un aumento de 0,15 puntos en madurez de Medidas Técnicas se traduce</w:t>
      </w:r>
      <w:r/>
      <w:r>
        <w:br/>
        <w:t>en una reducción del 40 % en la probabilidad de incidentes críticos.”</w:t>
      </w:r>
    </w:p>
    <w:p>
      <w:pPr>
        <w:pStyle w:val="Heading2"/>
        <w:keepNext/>
        <w:keepLines/>
      </w:pPr>
      <w:r>
        <w:rPr>
          <w:color w:val="0066CC"/>
        </w:rPr>
        <w:t>4. Visualizaciones recomendadas</w:t>
      </w:r>
    </w:p>
    <w:p>
      <w:r>
        <w:t xml:space="preserve">En la hoja </w:t>
      </w:r>
      <w:r>
        <w:rPr>
          <w:rFonts w:ascii="Courier New" w:hAnsi="Courier New"/>
          <w:sz w:val="18"/>
        </w:rPr>
        <w:t>IGM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Gráfico radar con madurez por bloque.</w:t>
      </w:r>
    </w:p>
    <w:p>
      <w:pPr>
        <w:pStyle w:val="ListBullet"/>
        <w:keepLines w:val="1"/>
        <w:keepNext w:val="1"/>
        <w:widowControl w:val="1"/>
      </w:pPr>
      <w:r>
        <w:t>Barras comparando IGM por unidades de negocio o años.</w:t>
      </w:r>
    </w:p>
    <w:p>
      <w:pPr>
        <w:pStyle w:val="ListBullet"/>
        <w:keepLines w:val="1"/>
        <w:widowControl w:val="1"/>
      </w:pPr>
      <w:r>
        <w:t>Semáforos por bloque (rojo/ámbar/verde).</w:t>
      </w:r>
    </w:p>
    <w:p>
      <w:r>
        <w:t xml:space="preserve">En la hoja </w:t>
      </w:r>
      <w:r>
        <w:rPr>
          <w:rFonts w:ascii="Courier New" w:hAnsi="Courier New"/>
          <w:sz w:val="18"/>
        </w:rPr>
        <w:t>ROI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Barras comparando ROI por iniciativa.</w:t>
      </w:r>
    </w:p>
    <w:p>
      <w:pPr>
        <w:pStyle w:val="ListBullet"/>
        <w:keepLines w:val="1"/>
        <w:widowControl w:val="1"/>
      </w:pPr>
      <w:r>
        <w:t>Curva de ahorro acumulado vs costes acumulados.</w:t>
      </w:r>
    </w:p>
    <w:p>
      <w:pPr>
        <w:pStyle w:val="Heading2"/>
        <w:keepNext/>
        <w:keepLines/>
      </w:pPr>
      <w:r>
        <w:rPr>
          <w:color w:val="0066CC"/>
        </w:rPr>
        <w:t>5. Notas prácticas</w:t>
      </w:r>
    </w:p>
    <w:p>
      <w:pPr>
        <w:pStyle w:val="ListBullet"/>
        <w:keepLines w:val="1"/>
        <w:keepNext w:val="1"/>
        <w:widowControl w:val="1"/>
      </w:pPr>
      <w:r>
        <w:t>Documentar en una pestaña Supuestos las fuentes de datos para impactos y probabilidades.</w:t>
      </w:r>
    </w:p>
    <w:p>
      <w:pPr>
        <w:pStyle w:val="ListBullet"/>
        <w:keepLines w:val="1"/>
        <w:keepNext w:val="1"/>
        <w:widowControl w:val="1"/>
      </w:pPr>
      <w:r>
        <w:t>Versionar el libro (v1, v2, etc.) para evitar arqueología Excel.</w:t>
      </w:r>
    </w:p>
    <w:p>
      <w:pPr>
        <w:pStyle w:val="ListBullet"/>
        <w:keepLines w:val="1"/>
        <w:widowControl w:val="1"/>
      </w:pPr>
      <w:r>
        <w:t>Recordar que toda cifra de ROI es una simplificación, no un oráculo.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