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Plantilla de Reporte Ejecutivo</w:t>
      </w:r>
    </w:p>
    <w:p>
      <w:pPr>
        <w:pStyle w:val="Heading2"/>
        <w:keepNext/>
        <w:keepLines/>
      </w:pPr>
      <w:r>
        <w:rPr>
          <w:color w:val="0066CC"/>
        </w:rPr>
        <w:t>Presentación para Consejo / Alta Dirección</w:t>
      </w:r>
    </w:p>
    <w:p>
      <w:r>
        <w:t>Estructura pensada para construir una presentación (PowerPoint, Keynote, etc.)</w:t>
      </w:r>
      <w:r/>
      <w:r>
        <w:br/>
        <w:t>a partir de los resultados de la encuesta, el IGM y el análisis de ROI.</w:t>
      </w:r>
    </w:p>
    <w:p>
      <w:pPr>
        <w:pStyle w:val="Heading3"/>
        <w:keepNext/>
        <w:keepLines/>
      </w:pPr>
      <w:r>
        <w:t>Diapositiva 1 – Portada</w:t>
      </w:r>
    </w:p>
    <w:p>
      <w:pPr>
        <w:pStyle w:val="ListBullet"/>
        <w:keepLines w:val="1"/>
        <w:keepNext w:val="1"/>
        <w:widowControl w:val="1"/>
      </w:pPr>
      <w:r>
        <w:t>Título: “Estado de madurez GDPR – Ciberseguridad y Métricas”</w:t>
      </w:r>
    </w:p>
    <w:p>
      <w:pPr>
        <w:pStyle w:val="ListBullet"/>
        <w:keepLines w:val="1"/>
        <w:keepNext w:val="1"/>
        <w:widowControl w:val="1"/>
      </w:pPr>
      <w:r>
        <w:t>Subtítulo: “Diagnóstico [Año / Organización]”</w:t>
      </w:r>
    </w:p>
    <w:p>
      <w:pPr>
        <w:pStyle w:val="ListBullet"/>
        <w:keepLines w:val="1"/>
        <w:widowControl w:val="1"/>
      </w:pPr>
      <w:r>
        <w:t>Datos: responsable, fecha, ámbito (organización / unidad)</w:t>
      </w:r>
    </w:p>
    <w:p>
      <w:pPr>
        <w:pStyle w:val="Heading3"/>
        <w:keepNext/>
        <w:keepLines/>
      </w:pPr>
      <w:r>
        <w:t>Diapositiva 2 – Resumen ejecutivo</w:t>
      </w:r>
    </w:p>
    <w:p>
      <w:r>
        <w:t>Contenido sugerido:</w:t>
      </w:r>
    </w:p>
    <w:p>
      <w:pPr>
        <w:pStyle w:val="ListBullet"/>
        <w:keepLines w:val="1"/>
        <w:keepNext w:val="1"/>
        <w:widowControl w:val="1"/>
      </w:pPr>
      <w:r>
        <w:t>IGM global (porcentaje y nivel: Reactivo/Básico/Intermedio/Avanzado/Líder).</w:t>
      </w:r>
    </w:p>
    <w:p>
      <w:pPr>
        <w:pStyle w:val="ListBullet"/>
        <w:keepLines w:val="1"/>
        <w:keepNext w:val="1"/>
        <w:widowControl w:val="1"/>
      </w:pPr>
      <w:r>
        <w:t>3–4 mensajes clave:</w:t>
      </w:r>
    </w:p>
    <w:p>
      <w:pPr>
        <w:pStyle w:val="ListBullet"/>
        <w:keepLines w:val="1"/>
        <w:keepNext w:val="1"/>
        <w:widowControl w:val="1"/>
      </w:pPr>
      <w:r>
        <w:t>Fortalezas principales.</w:t>
      </w:r>
    </w:p>
    <w:p>
      <w:pPr>
        <w:pStyle w:val="ListBullet"/>
        <w:keepLines w:val="1"/>
        <w:keepNext w:val="1"/>
        <w:widowControl w:val="1"/>
      </w:pPr>
      <w:r>
        <w:t>Debilidades críticas.</w:t>
      </w:r>
    </w:p>
    <w:p>
      <w:pPr>
        <w:pStyle w:val="ListBullet"/>
        <w:keepLines w:val="1"/>
        <w:keepNext w:val="1"/>
        <w:widowControl w:val="1"/>
      </w:pPr>
      <w:r>
        <w:t>Riesgos asociados (regulatorios, operativos, reputacionales).</w:t>
      </w:r>
    </w:p>
    <w:p>
      <w:pPr>
        <w:pStyle w:val="ListBullet"/>
        <w:keepLines w:val="1"/>
        <w:widowControl w:val="1"/>
      </w:pPr>
      <w:r>
        <w:t>Oportunidades de mejora con mejor ROI.</w:t>
      </w:r>
    </w:p>
    <w:p>
      <w:pPr>
        <w:pStyle w:val="Heading3"/>
        <w:keepNext/>
        <w:keepLines/>
      </w:pPr>
      <w:r>
        <w:t>Diapositiva 3 – Metodología y fuentes</w:t>
      </w:r>
    </w:p>
    <w:p>
      <w:pPr>
        <w:pStyle w:val="ListBullet"/>
        <w:keepLines w:val="1"/>
        <w:keepNext w:val="1"/>
        <w:widowControl w:val="1"/>
      </w:pPr>
      <w:r>
        <w:t>Breve explicación de la encuesta (bloques, nº de preguntas).</w:t>
      </w:r>
    </w:p>
    <w:p>
      <w:pPr>
        <w:pStyle w:val="ListBullet"/>
        <w:keepLines w:val="1"/>
        <w:keepNext w:val="1"/>
        <w:widowControl w:val="1"/>
      </w:pPr>
      <w:r>
        <w:t>Referencia al RGPD, NIS2, ISO 27001/27701 como marcos utilizados. [web:28][web:22][web:27]</w:t>
      </w:r>
    </w:p>
    <w:p>
      <w:pPr>
        <w:pStyle w:val="ListBullet"/>
        <w:keepLines w:val="1"/>
        <w:widowControl w:val="1"/>
      </w:pPr>
      <w:r>
        <w:t>Explicación del cálculo de IGM y del enfoque de ROI.</w:t>
      </w:r>
    </w:p>
    <w:p>
      <w:pPr>
        <w:pStyle w:val="Heading3"/>
        <w:keepNext/>
        <w:keepLines/>
      </w:pPr>
      <w:r>
        <w:t>Diapositiva 4 – IGM global y por bloque</w:t>
      </w:r>
    </w:p>
    <w:p>
      <w:pPr>
        <w:pStyle w:val="ListBullet"/>
        <w:keepLines w:val="1"/>
        <w:keepNext w:val="1"/>
        <w:widowControl w:val="1"/>
      </w:pPr>
      <w:r>
        <w:t>Gráfico radar con puntuación por bloque:</w:t>
      </w:r>
    </w:p>
    <w:p>
      <w:pPr>
        <w:pStyle w:val="ListBullet"/>
        <w:keepLines w:val="1"/>
        <w:keepNext w:val="1"/>
        <w:widowControl w:val="1"/>
      </w:pPr>
      <w:r>
        <w:t>Gobernanza</w:t>
      </w:r>
    </w:p>
    <w:p>
      <w:pPr>
        <w:pStyle w:val="ListBullet"/>
        <w:keepLines w:val="1"/>
        <w:keepNext w:val="1"/>
        <w:widowControl w:val="1"/>
      </w:pPr>
      <w:r>
        <w:t>Riesgo/EIPD</w:t>
      </w:r>
    </w:p>
    <w:p>
      <w:pPr>
        <w:pStyle w:val="ListBullet"/>
        <w:keepLines w:val="1"/>
        <w:keepNext w:val="1"/>
        <w:widowControl w:val="1"/>
      </w:pPr>
      <w:r>
        <w:t>Medidas técnicas</w:t>
      </w:r>
    </w:p>
    <w:p>
      <w:pPr>
        <w:pStyle w:val="ListBullet"/>
        <w:keepLines w:val="1"/>
        <w:keepNext w:val="1"/>
        <w:widowControl w:val="1"/>
      </w:pPr>
      <w:r>
        <w:t>Brechas</w:t>
      </w:r>
    </w:p>
    <w:p>
      <w:pPr>
        <w:pStyle w:val="ListBullet"/>
        <w:keepLines w:val="1"/>
        <w:keepNext w:val="1"/>
        <w:widowControl w:val="1"/>
      </w:pPr>
      <w:r>
        <w:t>Terceros</w:t>
      </w:r>
    </w:p>
    <w:p>
      <w:pPr>
        <w:pStyle w:val="ListBullet"/>
        <w:keepLines w:val="1"/>
        <w:keepNext w:val="1"/>
        <w:widowControl w:val="1"/>
      </w:pPr>
      <w:r>
        <w:t>Formación</w:t>
      </w:r>
    </w:p>
    <w:p>
      <w:pPr>
        <w:pStyle w:val="ListBullet"/>
        <w:keepLines w:val="1"/>
        <w:keepNext w:val="1"/>
        <w:widowControl w:val="1"/>
      </w:pPr>
      <w:r>
        <w:t>Métricas</w:t>
      </w:r>
    </w:p>
    <w:p>
      <w:pPr>
        <w:pStyle w:val="ListBullet"/>
        <w:keepLines w:val="1"/>
        <w:keepNext w:val="1"/>
        <w:widowControl w:val="1"/>
      </w:pPr>
      <w:r>
        <w:t>Resultados regulatorios</w:t>
      </w:r>
    </w:p>
    <w:p>
      <w:pPr>
        <w:pStyle w:val="ListBullet"/>
        <w:keepLines w:val="1"/>
        <w:keepNext w:val="1"/>
        <w:widowControl w:val="1"/>
      </w:pPr>
      <w:r>
        <w:t>Innovación/IA</w:t>
      </w:r>
    </w:p>
    <w:p>
      <w:pPr>
        <w:pStyle w:val="ListBullet"/>
        <w:keepLines w:val="1"/>
        <w:widowControl w:val="1"/>
      </w:pPr>
      <w:r>
        <w:t>Tabla breve con valores numéricos.</w:t>
      </w:r>
    </w:p>
    <w:p>
      <w:pPr>
        <w:pStyle w:val="Heading3"/>
        <w:keepNext/>
        <w:keepLines/>
      </w:pPr>
      <w:r>
        <w:t>Diapositiva 5 – Comparativa interna / temporal</w:t>
      </w:r>
    </w:p>
    <w:p>
      <w:pPr>
        <w:pStyle w:val="ListBullet"/>
        <w:keepLines w:val="1"/>
        <w:keepNext w:val="1"/>
        <w:widowControl w:val="1"/>
      </w:pPr>
      <w:r>
        <w:t>Si hay datos históricos:</w:t>
      </w:r>
    </w:p>
    <w:p>
      <w:pPr>
        <w:pStyle w:val="ListBullet"/>
        <w:keepLines w:val="1"/>
        <w:keepNext w:val="1"/>
        <w:widowControl w:val="1"/>
      </w:pPr>
      <w:r>
        <w:t>Gráfico de barras con IGM por año.</w:t>
      </w:r>
    </w:p>
    <w:p>
      <w:pPr>
        <w:pStyle w:val="ListBullet"/>
        <w:keepLines w:val="1"/>
        <w:keepNext w:val="1"/>
        <w:widowControl w:val="1"/>
      </w:pPr>
      <w:r>
        <w:t>Si hay varias unidades:</w:t>
      </w:r>
    </w:p>
    <w:p>
      <w:pPr>
        <w:pStyle w:val="ListBullet"/>
        <w:keepLines w:val="1"/>
        <w:widowControl w:val="1"/>
      </w:pPr>
      <w:r>
        <w:t>Gráfico de barras comparando unidades o países.</w:t>
      </w:r>
    </w:p>
    <w:p>
      <w:r>
        <w:t>Mensaje: dónde se ha mejorado, dónde se ha retrocedido.</w:t>
      </w:r>
    </w:p>
    <w:p>
      <w:pPr>
        <w:pStyle w:val="Heading3"/>
        <w:keepNext/>
        <w:keepLines/>
      </w:pPr>
      <w:r>
        <w:t>Diapositiva 6 – Riesgos clave y exposición</w:t>
      </w:r>
    </w:p>
    <w:p>
      <w:pPr>
        <w:pStyle w:val="ListBullet"/>
        <w:keepLines w:val="1"/>
        <w:keepNext w:val="1"/>
        <w:widowControl w:val="1"/>
      </w:pPr>
      <w:r>
        <w:t>3–5 riesgos principales derivados de los resultados:</w:t>
      </w:r>
    </w:p>
    <w:p>
      <w:pPr>
        <w:pStyle w:val="ListBullet"/>
        <w:keepLines w:val="1"/>
        <w:keepNext w:val="1"/>
        <w:widowControl w:val="1"/>
      </w:pPr>
      <w:r>
        <w:t>p. ej. baja cobertura de EIPD, tiempos largos de parcheo, lagunas en cadena de suministro.</w:t>
      </w:r>
    </w:p>
    <w:p>
      <w:pPr>
        <w:pStyle w:val="ListBullet"/>
        <w:keepLines w:val="1"/>
        <w:keepNext w:val="1"/>
        <w:widowControl w:val="1"/>
      </w:pPr>
      <w:r>
        <w:t>Relación con posibles impactos:</w:t>
      </w:r>
    </w:p>
    <w:p>
      <w:pPr>
        <w:pStyle w:val="ListBullet"/>
        <w:keepLines w:val="1"/>
        <w:keepNext w:val="1"/>
        <w:widowControl w:val="1"/>
      </w:pPr>
      <w:r>
        <w:t>Sanciones (referencia a magnitud en UE y España). [web:3][web:6][web:11]</w:t>
      </w:r>
    </w:p>
    <w:p>
      <w:pPr>
        <w:pStyle w:val="ListBullet"/>
        <w:keepLines w:val="1"/>
        <w:keepNext w:val="1"/>
        <w:widowControl w:val="1"/>
      </w:pPr>
      <w:r>
        <w:t>Interrupción de servicio.</w:t>
      </w:r>
    </w:p>
    <w:p>
      <w:pPr>
        <w:pStyle w:val="ListBullet"/>
        <w:keepLines w:val="1"/>
        <w:widowControl w:val="1"/>
      </w:pPr>
      <w:r>
        <w:t>Pérdida de confianza de clientes/ciudadanos.</w:t>
      </w:r>
    </w:p>
    <w:p>
      <w:pPr>
        <w:pStyle w:val="Heading3"/>
        <w:keepNext/>
        <w:keepLines/>
      </w:pPr>
      <w:r>
        <w:t>Diapositiva 7 – Brechas e incidentes</w:t>
      </w:r>
    </w:p>
    <w:p>
      <w:pPr>
        <w:pStyle w:val="ListBullet"/>
        <w:keepLines w:val="1"/>
        <w:keepNext w:val="1"/>
        <w:widowControl w:val="1"/>
      </w:pPr>
      <w:r>
        <w:t>Número de brechas notificadas en últimos 12–36 meses.</w:t>
      </w:r>
    </w:p>
    <w:p>
      <w:pPr>
        <w:pStyle w:val="ListBullet"/>
        <w:keepLines w:val="1"/>
        <w:keepNext w:val="1"/>
        <w:widowControl w:val="1"/>
      </w:pPr>
      <w:r>
        <w:t>Tiempos medios de detección y notificación.</w:t>
      </w:r>
    </w:p>
    <w:p>
      <w:pPr>
        <w:pStyle w:val="ListBullet"/>
        <w:keepLines w:val="1"/>
        <w:keepNext w:val="1"/>
        <w:widowControl w:val="1"/>
      </w:pPr>
      <w:r>
        <w:t>Casos ilustrativos (anonimizados si procede).</w:t>
      </w:r>
    </w:p>
    <w:p>
      <w:pPr>
        <w:pStyle w:val="ListBullet"/>
        <w:keepLines w:val="1"/>
        <w:widowControl w:val="1"/>
      </w:pPr>
      <w:r>
        <w:t>Relación con expectativas del RGPD y de las autoridades. [web:14][web:28]</w:t>
      </w:r>
    </w:p>
    <w:p>
      <w:pPr>
        <w:pStyle w:val="Heading3"/>
        <w:keepNext/>
        <w:keepLines/>
      </w:pPr>
      <w:r>
        <w:t>Diapositiva 8 – Proveedores y cadena de suministro</w:t>
      </w:r>
    </w:p>
    <w:p>
      <w:pPr>
        <w:pStyle w:val="ListBullet"/>
        <w:keepLines w:val="1"/>
        <w:keepNext w:val="1"/>
        <w:widowControl w:val="1"/>
      </w:pPr>
      <w:r>
        <w:t>Porcentaje de proveedores con certificaciones relevantes. [web:23][web:27]</w:t>
      </w:r>
    </w:p>
    <w:p>
      <w:pPr>
        <w:pStyle w:val="ListBullet"/>
        <w:keepLines w:val="1"/>
        <w:keepNext w:val="1"/>
        <w:widowControl w:val="1"/>
      </w:pPr>
      <w:r>
        <w:t>Nivel de evaluación y monitorización continua.</w:t>
      </w:r>
    </w:p>
    <w:p>
      <w:pPr>
        <w:pStyle w:val="ListBullet"/>
        <w:keepLines w:val="1"/>
        <w:widowControl w:val="1"/>
      </w:pPr>
      <w:r>
        <w:t>Riesgos específicos (cloud, SaaS críticos, outsourcing).</w:t>
      </w:r>
    </w:p>
    <w:p>
      <w:pPr>
        <w:pStyle w:val="Heading3"/>
        <w:keepNext/>
        <w:keepLines/>
      </w:pPr>
      <w:r>
        <w:t>Diapositiva 9 – Cultura y comportamiento</w:t>
      </w:r>
    </w:p>
    <w:p>
      <w:pPr>
        <w:pStyle w:val="ListBullet"/>
        <w:keepLines w:val="1"/>
        <w:keepNext w:val="1"/>
        <w:widowControl w:val="1"/>
      </w:pPr>
      <w:r>
        <w:t>Nivel de formación y cobertura (% empleados formados).</w:t>
      </w:r>
    </w:p>
    <w:p>
      <w:pPr>
        <w:pStyle w:val="ListBullet"/>
        <w:keepLines w:val="1"/>
        <w:keepNext w:val="1"/>
        <w:widowControl w:val="1"/>
      </w:pPr>
      <w:r>
        <w:t>Resultados de métricas de comportamiento (phishing, reporte). [web:25]</w:t>
      </w:r>
    </w:p>
    <w:p>
      <w:pPr>
        <w:pStyle w:val="ListBullet"/>
        <w:keepLines w:val="1"/>
        <w:widowControl w:val="1"/>
      </w:pPr>
      <w:r>
        <w:t>Mensaje: el factor humano como defensa o como vulnerabilidad.</w:t>
      </w:r>
    </w:p>
    <w:p>
      <w:pPr>
        <w:pStyle w:val="Heading3"/>
        <w:keepNext/>
        <w:keepLines/>
      </w:pPr>
      <w:r>
        <w:t>Diapositiva 10 – Iniciativas priorizadas y ROI</w:t>
      </w:r>
    </w:p>
    <w:p>
      <w:pPr>
        <w:pStyle w:val="ListBullet"/>
        <w:keepLines w:val="1"/>
        <w:keepNext w:val="1"/>
        <w:widowControl w:val="1"/>
      </w:pPr>
      <w:r>
        <w:t>Tabla con 3–5 iniciativas clave:</w:t>
      </w:r>
    </w:p>
    <w:p>
      <w:pPr>
        <w:pStyle w:val="ListBullet"/>
        <w:keepLines w:val="1"/>
        <w:keepNext w:val="1"/>
        <w:widowControl w:val="1"/>
      </w:pPr>
      <w:r>
        <w:t>Descripción.</w:t>
      </w:r>
    </w:p>
    <w:p>
      <w:pPr>
        <w:pStyle w:val="ListBullet"/>
        <w:keepLines w:val="1"/>
        <w:keepNext w:val="1"/>
        <w:widowControl w:val="1"/>
      </w:pPr>
      <w:r>
        <w:t>Impacto esperado en IGM.</w:t>
      </w:r>
    </w:p>
    <w:p>
      <w:pPr>
        <w:pStyle w:val="ListBullet"/>
        <w:keepLines w:val="1"/>
        <w:keepNext w:val="1"/>
        <w:widowControl w:val="1"/>
      </w:pPr>
      <w:r>
        <w:t>ROI estimado y payback.</w:t>
      </w:r>
    </w:p>
    <w:p>
      <w:pPr>
        <w:pStyle w:val="ListBullet"/>
        <w:keepLines w:val="1"/>
        <w:widowControl w:val="1"/>
      </w:pPr>
      <w:r>
        <w:t>Enfocar en “quick wins” y proyectos estructurales.</w:t>
      </w:r>
    </w:p>
    <w:p>
      <w:pPr>
        <w:pStyle w:val="Heading3"/>
        <w:keepNext/>
        <w:keepLines/>
      </w:pPr>
      <w:r>
        <w:t>Diapositiva 11 – Hoja de ruta (12–24 meses)</w:t>
      </w:r>
    </w:p>
    <w:p>
      <w:pPr>
        <w:pStyle w:val="ListBullet"/>
        <w:keepLines w:val="1"/>
        <w:keepNext w:val="1"/>
        <w:widowControl w:val="1"/>
      </w:pPr>
      <w:r>
        <w:t>Fases:</w:t>
      </w:r>
    </w:p>
    <w:p>
      <w:pPr>
        <w:pStyle w:val="ListBullet"/>
        <w:keepLines w:val="1"/>
        <w:keepNext w:val="1"/>
        <w:widowControl w:val="1"/>
      </w:pPr>
      <w:r>
        <w:t>Corto plazo (0–6 meses): acciones urgentes y de alto impacto.</w:t>
      </w:r>
    </w:p>
    <w:p>
      <w:pPr>
        <w:pStyle w:val="ListBullet"/>
        <w:keepLines w:val="1"/>
        <w:keepNext w:val="1"/>
        <w:widowControl w:val="1"/>
      </w:pPr>
      <w:r>
        <w:t>Medio plazo (6–12 meses): proyectos de madurez.</w:t>
      </w:r>
    </w:p>
    <w:p>
      <w:pPr>
        <w:pStyle w:val="ListBullet"/>
        <w:keepLines w:val="1"/>
        <w:keepNext w:val="1"/>
        <w:widowControl w:val="1"/>
      </w:pPr>
      <w:r>
        <w:t>Largo plazo (12–24 meses): transformaciones estructurales.</w:t>
      </w:r>
    </w:p>
    <w:p>
      <w:pPr>
        <w:pStyle w:val="ListBullet"/>
        <w:keepLines w:val="1"/>
        <w:widowControl w:val="1"/>
      </w:pPr>
      <w:r>
        <w:t>Para cada fase: objetivos, hitos, métricas de éxito.</w:t>
      </w:r>
    </w:p>
    <w:p>
      <w:pPr>
        <w:pStyle w:val="Heading3"/>
        <w:keepNext/>
        <w:keepLines/>
      </w:pPr>
      <w:r>
        <w:t>Diapositiva 12 – Mensaje final</w:t>
      </w:r>
    </w:p>
    <w:p>
      <w:pPr>
        <w:pStyle w:val="ListBullet"/>
        <w:keepLines w:val="1"/>
        <w:keepNext w:val="1"/>
        <w:widowControl w:val="1"/>
      </w:pPr>
      <w:r>
        <w:t>Conclusión sobre el nivel de riesgo aceptable vs. real.</w:t>
      </w:r>
    </w:p>
    <w:p>
      <w:pPr>
        <w:pStyle w:val="ListBullet"/>
        <w:keepLines w:val="1"/>
        <w:keepNext w:val="1"/>
        <w:widowControl w:val="1"/>
      </w:pPr>
      <w:r>
        <w:t>Llamada a decisiones:</w:t>
      </w:r>
    </w:p>
    <w:p>
      <w:pPr>
        <w:pStyle w:val="ListBullet"/>
        <w:keepLines w:val="1"/>
        <w:keepNext w:val="1"/>
        <w:widowControl w:val="1"/>
      </w:pPr>
      <w:r>
        <w:t>Aprobación de inversiones prioritarias.</w:t>
      </w:r>
    </w:p>
    <w:p>
      <w:pPr>
        <w:pStyle w:val="ListBullet"/>
        <w:keepLines w:val="1"/>
        <w:keepNext w:val="1"/>
        <w:widowControl w:val="1"/>
      </w:pPr>
      <w:r>
        <w:t>Revisión de apetito de riesgo.</w:t>
      </w:r>
    </w:p>
    <w:p>
      <w:pPr>
        <w:pStyle w:val="ListBullet"/>
        <w:keepLines w:val="1"/>
        <w:widowControl w:val="1"/>
      </w:pPr>
      <w:r>
        <w:t>Compromiso de seguimiento del IGM.</w:t>
      </w:r>
    </w:p>
    <w:p>
      <w:pPr>
        <w:pStyle w:val="Heading3"/>
        <w:keepNext/>
        <w:keepLines/>
      </w:pPr>
      <w:r>
        <w:t>Notas para quien presenta</w:t>
      </w:r>
    </w:p>
    <w:p>
      <w:pPr>
        <w:pStyle w:val="ListBullet"/>
        <w:keepLines w:val="1"/>
        <w:keepNext w:val="1"/>
        <w:widowControl w:val="1"/>
      </w:pPr>
      <w:r>
        <w:t>Evitar jerga excesivamente técnica; traducir a impacto de negocio.</w:t>
      </w:r>
    </w:p>
    <w:p>
      <w:pPr>
        <w:pStyle w:val="ListBullet"/>
        <w:keepLines w:val="1"/>
        <w:keepNext w:val="1"/>
        <w:widowControl w:val="1"/>
      </w:pPr>
      <w:r>
        <w:t>No ocultar debilidades, pero contextualizarlas con plan de acción.</w:t>
      </w:r>
    </w:p>
    <w:p>
      <w:pPr>
        <w:pStyle w:val="ListBullet"/>
        <w:keepLines w:val="1"/>
        <w:keepNext w:val="1"/>
        <w:widowControl w:val="1"/>
      </w:pPr>
      <w:r>
        <w:t>Usar comparativas sectoriales cuando estén disponibles (informes ENISA, estadísticas de autoridades). [web:22][web:26][web:6][web:11]</w:t>
      </w:r>
    </w:p>
    <w:p>
      <w:pPr>
        <w:pStyle w:val="ListBullet"/>
        <w:keepLines w:val="1"/>
        <w:widowControl w:val="1"/>
      </w:pPr>
      <w:r>
        <w:t>Mantener un equilibrio entre urgencia y viabilidad: ni complacencia, ni apocalipsis.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