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</w:t>
      </w:r>
    </w:p>
    <w:p>
      <w:pPr>
        <w:pStyle w:val="Heading2"/>
        <w:keepNext/>
        <w:keepLines/>
      </w:pPr>
      <w:r>
        <w:rPr>
          <w:color w:val="0066CC"/>
        </w:rPr>
        <w:t>Kit de Encuesta GDPR – Ciberseguridad, Riesgo y Métricas</w:t>
      </w:r>
    </w:p>
    <w:p>
      <w:r>
        <w:t>Bienvenido al pequeño laboratorio donde el RGPD, la ciberseguridad y la estadística</w:t>
      </w:r>
      <w:r/>
      <w:r>
        <w:br/>
        <w:t>deciden hablarse sin intermediarios.</w:t>
      </w:r>
    </w:p>
    <w:p>
      <w:r>
        <w:t>Este kit contiene:</w:t>
      </w:r>
    </w:p>
    <w:p>
      <w:pPr>
        <w:pStyle w:val="ListNumber"/>
        <w:keepLines w:val="1"/>
        <w:keepNext w:val="1"/>
        <w:widowControl w:val="1"/>
      </w:pPr>
      <w:r>
        <w:br/>
        <w:t>encuesta_gdpr_modelo.md</w:t>
        <w:br/>
        <w:t xml:space="preserve">   Modelo de encuesta integral para responsables de organizaciones.</w:t>
        <w:br/>
      </w:r>
    </w:p>
    <w:p>
      <w:pPr>
        <w:pStyle w:val="ListNumber"/>
        <w:keepLines w:val="1"/>
        <w:keepNext w:val="1"/>
        <w:widowControl w:val="1"/>
      </w:pPr>
      <w:r>
        <w:br/>
        <w:t>encuesta_gdpr_guia_metodologica.md</w:t>
        <w:br/>
        <w:t xml:space="preserve">   Guía para diseñar la aplicación, puntuación e interpretación de resultados.</w:t>
        <w:br/>
      </w:r>
    </w:p>
    <w:p>
      <w:pPr>
        <w:pStyle w:val="ListNumber"/>
        <w:keepLines w:val="1"/>
        <w:keepNext w:val="1"/>
        <w:widowControl w:val="1"/>
      </w:pPr>
      <w:r>
        <w:br/>
        <w:t>encuesta_gdpr_narrativa.md</w:t>
        <w:br/>
        <w:t xml:space="preserve">   Narrativa explicativa para contextualizar y “vender” internamente el ejercicio.</w:t>
        <w:br/>
      </w:r>
    </w:p>
    <w:p>
      <w:pPr>
        <w:pStyle w:val="ListNumber"/>
        <w:keepLines w:val="1"/>
        <w:keepNext w:val="1"/>
        <w:widowControl w:val="1"/>
      </w:pPr>
      <w:r>
        <w:br/>
        <w:t>encuesta_gdpr_mapeo_normativo.md</w:t>
        <w:br/>
        <w:t xml:space="preserve">   Tabla que mapea cada bloque/pregunta a artículos RGPD y guías oficiales.</w:t>
        <w:br/>
      </w:r>
    </w:p>
    <w:p>
      <w:pPr>
        <w:pStyle w:val="ListNumber"/>
        <w:keepLines w:val="1"/>
        <w:keepNext w:val="1"/>
        <w:widowControl w:val="1"/>
      </w:pPr>
      <w:r>
        <w:br/>
        <w:t>encuesta_gdpr_igm_roi.md</w:t>
        <w:br/>
        <w:t xml:space="preserve">   Plantilla conceptual para construir un Excel de cálculo de IGM y ROI.</w:t>
        <w:br/>
      </w:r>
    </w:p>
    <w:p>
      <w:pPr>
        <w:pStyle w:val="ListNumber"/>
        <w:keepLines w:val="1"/>
        <w:widowControl w:val="1"/>
      </w:pPr>
      <w:r>
        <w:br/>
        <w:t>encuesta_gdpr_plantilla_ppt.md</w:t>
        <w:br/>
        <w:t xml:space="preserve">   Guion de presentación ejecutiva para consejo/alta dirección.</w:t>
        <w:br/>
      </w:r>
    </w:p>
    <w:p>
      <w:r>
        <w:rPr>
          <w:rFonts w:ascii="Courier New" w:hAnsi="Courier New"/>
          <w:sz w:val="18"/>
        </w:rPr>
        <w:t>encuesta_gdpr_modelo.md</w:t>
      </w:r>
      <w:r/>
      <w:r>
        <w:br/>
        <w:t xml:space="preserve">   Modelo de encuesta integral para responsables de organizaciones.</w:t>
      </w:r>
    </w:p>
    <w:p>
      <w:r>
        <w:rPr>
          <w:rFonts w:ascii="Courier New" w:hAnsi="Courier New"/>
          <w:sz w:val="18"/>
        </w:rPr>
        <w:t>encuesta_gdpr_guia_metodologica.md</w:t>
      </w:r>
      <w:r/>
      <w:r>
        <w:br/>
        <w:t xml:space="preserve">   Guía para diseñar la aplicación, puntuación e interpretación de resultados.</w:t>
      </w:r>
    </w:p>
    <w:p>
      <w:r>
        <w:rPr>
          <w:rFonts w:ascii="Courier New" w:hAnsi="Courier New"/>
          <w:sz w:val="18"/>
        </w:rPr>
        <w:t>encuesta_gdpr_narrativa.md</w:t>
      </w:r>
      <w:r/>
      <w:r>
        <w:br/>
        <w:t xml:space="preserve">   Narrativa explicativa para contextualizar y “vender” internamente el ejercicio.</w:t>
      </w:r>
    </w:p>
    <w:p>
      <w:r>
        <w:rPr>
          <w:rFonts w:ascii="Courier New" w:hAnsi="Courier New"/>
          <w:sz w:val="18"/>
        </w:rPr>
        <w:t>encuesta_gdpr_mapeo_normativo.md</w:t>
      </w:r>
      <w:r/>
      <w:r>
        <w:br/>
        <w:t xml:space="preserve">   Tabla que mapea cada bloque/pregunta a artículos RGPD y guías oficiales.</w:t>
      </w:r>
    </w:p>
    <w:p>
      <w:r>
        <w:rPr>
          <w:rFonts w:ascii="Courier New" w:hAnsi="Courier New"/>
          <w:sz w:val="18"/>
        </w:rPr>
        <w:t>encuesta_gdpr_igm_roi.md</w:t>
      </w:r>
      <w:r/>
      <w:r>
        <w:br/>
        <w:t xml:space="preserve">   Plantilla conceptual para construir un Excel de cálculo de IGM y ROI.</w:t>
      </w:r>
    </w:p>
    <w:p>
      <w:r>
        <w:rPr>
          <w:rFonts w:ascii="Courier New" w:hAnsi="Courier New"/>
          <w:sz w:val="18"/>
        </w:rPr>
        <w:t>encuesta_gdpr_plantilla_ppt.md</w:t>
      </w:r>
      <w:r/>
      <w:r>
        <w:br/>
        <w:t xml:space="preserve">   Guion de presentación ejecutiva para consejo/alta dirección.</w:t>
      </w:r>
    </w:p>
    <w:p>
      <w:pPr>
        <w:pStyle w:val="Heading2"/>
        <w:keepNext/>
        <w:keepLines/>
      </w:pPr>
      <w:r>
        <w:rPr>
          <w:color w:val="0066CC"/>
        </w:rPr>
        <w:t>Cómo usar el kit (en tres actos)</w:t>
      </w:r>
    </w:p>
    <w:p>
      <w:pPr>
        <w:pStyle w:val="Heading3"/>
        <w:keepNext/>
        <w:keepLines/>
      </w:pPr>
      <w:r>
        <w:t>Acto I – Diagnóstico</w:t>
      </w:r>
    </w:p>
    <w:p>
      <w:pPr>
        <w:pStyle w:val="ListNumber"/>
        <w:keepLines w:val="1"/>
        <w:keepNext w:val="1"/>
        <w:widowControl w:val="1"/>
      </w:pPr>
      <w:r>
        <w:t>Adaptar el modelo de encuesta al contexto de la organización (sector, tamaño).</w:t>
      </w:r>
    </w:p>
    <w:p>
      <w:pPr>
        <w:pStyle w:val="ListNumber"/>
        <w:keepLines w:val="1"/>
        <w:keepNext w:val="1"/>
        <w:widowControl w:val="1"/>
      </w:pPr>
      <w:r>
        <w:t>Decidir formato de aplicación (online, entrevistas, Excel).</w:t>
      </w:r>
    </w:p>
    <w:p>
      <w:pPr>
        <w:pStyle w:val="ListNumber"/>
        <w:keepLines w:val="1"/>
        <w:keepNext w:val="1"/>
        <w:widowControl w:val="1"/>
      </w:pPr>
      <w:r>
        <w:t>Informar de forma transparente sobre el tratamiento de las respuestas. [web:29][web:18]</w:t>
      </w:r>
    </w:p>
    <w:p>
      <w:pPr>
        <w:pStyle w:val="ListNumber"/>
        <w:keepLines w:val="1"/>
        <w:widowControl w:val="1"/>
      </w:pPr>
      <w:r>
        <w:t>Ejecutar la encuesta con los perfiles adecuados (CISO, DPO, Riesgos, TI, etc.).</w:t>
      </w:r>
    </w:p>
    <w:p>
      <w:pPr>
        <w:pStyle w:val="Heading3"/>
        <w:keepNext/>
        <w:keepLines/>
      </w:pPr>
      <w:r>
        <w:t>Acto II – Análisis</w:t>
      </w:r>
    </w:p>
    <w:p>
      <w:pPr>
        <w:pStyle w:val="ListNumber"/>
        <w:keepLines w:val="1"/>
        <w:keepNext w:val="1"/>
        <w:widowControl w:val="1"/>
      </w:pPr>
      <w:r>
        <w:t>Volcar las respuestas en el Excel diseñado a partir de encuesta_gdpr_igm_roi.md.</w:t>
      </w:r>
    </w:p>
    <w:p>
      <w:pPr>
        <w:pStyle w:val="ListNumber"/>
        <w:keepLines w:val="1"/>
        <w:keepNext w:val="1"/>
        <w:widowControl w:val="1"/>
      </w:pPr>
      <w:r>
        <w:t>Calcular:</w:t>
      </w:r>
    </w:p>
    <w:p>
      <w:pPr>
        <w:pStyle w:val="ListNumber"/>
        <w:keepLines w:val="1"/>
        <w:keepNext w:val="1"/>
        <w:widowControl w:val="1"/>
      </w:pPr>
      <w:r>
        <w:t>IGM por bloque.</w:t>
      </w:r>
    </w:p>
    <w:p>
      <w:pPr>
        <w:pStyle w:val="ListNumber"/>
        <w:keepLines w:val="1"/>
        <w:keepNext w:val="1"/>
        <w:widowControl w:val="1"/>
      </w:pPr>
      <w:r>
        <w:t>IGM global.</w:t>
      </w:r>
    </w:p>
    <w:p>
      <w:pPr>
        <w:pStyle w:val="ListNumber"/>
        <w:keepLines w:val="1"/>
        <w:keepNext w:val="1"/>
        <w:widowControl w:val="1"/>
      </w:pPr>
      <w:r>
        <w:t>Si se desea, ROI aproximado de iniciativas clave.</w:t>
      </w:r>
    </w:p>
    <w:p>
      <w:pPr>
        <w:pStyle w:val="ListNumber"/>
        <w:keepLines w:val="1"/>
        <w:widowControl w:val="1"/>
      </w:pPr>
      <w:r>
        <w:t>Revisar el mapeo normativo para comprender qué está fallando y dónde. [web:28][web:25][web:14]</w:t>
      </w:r>
    </w:p>
    <w:p>
      <w:pPr>
        <w:pStyle w:val="Heading3"/>
        <w:keepNext/>
        <w:keepLines/>
      </w:pPr>
      <w:r>
        <w:t>Acto III – Acción</w:t>
      </w:r>
    </w:p>
    <w:p>
      <w:pPr>
        <w:pStyle w:val="ListNumber"/>
        <w:keepLines w:val="1"/>
        <w:keepNext w:val="1"/>
        <w:widowControl w:val="1"/>
      </w:pPr>
      <w:r>
        <w:t>Construir el reporte ejecutivo siguiendo encuesta_gdpr_plantilla_ppt.md.</w:t>
      </w:r>
    </w:p>
    <w:p>
      <w:pPr>
        <w:pStyle w:val="ListNumber"/>
        <w:keepLines w:val="1"/>
        <w:keepNext w:val="1"/>
        <w:widowControl w:val="1"/>
      </w:pPr>
      <w:r>
        <w:t>Presentar resultados a la alta dirección, con énfasis en:</w:t>
      </w:r>
    </w:p>
    <w:p>
      <w:pPr>
        <w:pStyle w:val="ListNumber"/>
        <w:keepLines w:val="1"/>
        <w:keepNext w:val="1"/>
        <w:widowControl w:val="1"/>
      </w:pPr>
      <w:r>
        <w:t>Riesgos.</w:t>
      </w:r>
    </w:p>
    <w:p>
      <w:pPr>
        <w:pStyle w:val="ListNumber"/>
        <w:keepLines w:val="1"/>
        <w:keepNext w:val="1"/>
        <w:widowControl w:val="1"/>
      </w:pPr>
      <w:r>
        <w:t>Oportunidades de mejora.</w:t>
      </w:r>
    </w:p>
    <w:p>
      <w:pPr>
        <w:pStyle w:val="ListNumber"/>
        <w:keepLines w:val="1"/>
        <w:keepNext w:val="1"/>
        <w:widowControl w:val="1"/>
      </w:pPr>
      <w:r>
        <w:t>Relación coste/beneficio de las iniciativas propuestas. [web:12][web:22]</w:t>
      </w:r>
    </w:p>
    <w:p>
      <w:pPr>
        <w:pStyle w:val="ListNumber"/>
        <w:keepLines w:val="1"/>
        <w:widowControl w:val="1"/>
      </w:pPr>
      <w:r>
        <w:t>Integrar indicadores seleccionados en cuadros de mando regulares.</w:t>
      </w:r>
    </w:p>
    <w:p>
      <w:pPr>
        <w:pStyle w:val="Heading2"/>
        <w:keepNext/>
        <w:keepLines/>
      </w:pPr>
      <w:r>
        <w:rPr>
          <w:color w:val="0066CC"/>
        </w:rPr>
        <w:t>Requisitos mínimos de cordura</w:t>
      </w:r>
    </w:p>
    <w:p>
      <w:r>
        <w:t>Para que el kit funcione razonablemente bien, se recomienda:</w:t>
      </w:r>
    </w:p>
    <w:p>
      <w:pPr>
        <w:pStyle w:val="ListBullet"/>
        <w:keepLines w:val="1"/>
        <w:keepNext w:val="1"/>
        <w:widowControl w:val="1"/>
      </w:pPr>
      <w:r>
        <w:t>Aceptar que algunas respuestas serán incómodas.</w:t>
      </w:r>
    </w:p>
    <w:p>
      <w:pPr>
        <w:pStyle w:val="ListBullet"/>
        <w:keepLines w:val="1"/>
        <w:keepNext w:val="1"/>
        <w:widowControl w:val="1"/>
      </w:pPr>
      <w:r>
        <w:t>Evitar “maquillar” la realidad para quedar bien en el informe.</w:t>
      </w:r>
    </w:p>
    <w:p>
      <w:pPr>
        <w:pStyle w:val="ListBullet"/>
        <w:keepLines w:val="1"/>
        <w:keepNext w:val="1"/>
        <w:widowControl w:val="1"/>
      </w:pPr>
      <w:r>
        <w:t>Revisar periódicamente (al menos anual) la encuesta, actualizando contenidos según:</w:t>
      </w:r>
    </w:p>
    <w:p>
      <w:pPr>
        <w:pStyle w:val="ListBullet"/>
        <w:keepLines w:val="1"/>
        <w:keepNext w:val="1"/>
        <w:widowControl w:val="1"/>
      </w:pPr>
      <w:r>
        <w:t>evolución normativa (NIS2, guías EDPB, AEPD, ENISA), [web:22][web:26][web:14][web:21]</w:t>
      </w:r>
    </w:p>
    <w:p>
      <w:pPr>
        <w:pStyle w:val="ListBullet"/>
        <w:keepLines w:val="1"/>
        <w:widowControl w:val="1"/>
      </w:pPr>
      <w:r>
        <w:t>aparición de nuevas tecnologías (IA generativa, espacios de datos, etc.).</w:t>
      </w:r>
    </w:p>
    <w:p>
      <w:pPr>
        <w:pStyle w:val="Heading2"/>
        <w:keepNext/>
        <w:keepLines/>
      </w:pPr>
      <w:r>
        <w:rPr>
          <w:color w:val="0066CC"/>
        </w:rPr>
        <w:t>Crédito intelectual y fuentes</w:t>
      </w:r>
    </w:p>
    <w:p>
      <w:r>
        <w:t>El enfoque se inspira en:</w:t>
      </w:r>
    </w:p>
    <w:p>
      <w:pPr>
        <w:pStyle w:val="ListBullet"/>
        <w:keepLines w:val="1"/>
        <w:keepNext w:val="1"/>
        <w:widowControl w:val="1"/>
      </w:pPr>
      <w:r>
        <w:t>El RGPD y sus artículos sobre seguridad del tratamiento, brechas y responsabilidad. [web:28]</w:t>
      </w:r>
    </w:p>
    <w:p>
      <w:pPr>
        <w:pStyle w:val="ListBullet"/>
        <w:keepLines w:val="1"/>
        <w:keepNext w:val="1"/>
        <w:widowControl w:val="1"/>
      </w:pPr>
      <w:r>
        <w:t>El digest de casos del EDPB sobre seguridad y brechas. [web:14]</w:t>
      </w:r>
    </w:p>
    <w:p>
      <w:pPr>
        <w:pStyle w:val="ListBullet"/>
        <w:keepLines w:val="1"/>
        <w:keepNext w:val="1"/>
        <w:widowControl w:val="1"/>
      </w:pPr>
      <w:r>
        <w:t>Las guías de ENISA y AEPD sobre seguridad de tratamiento y criptografía. [web:25][web:21]</w:t>
      </w:r>
    </w:p>
    <w:p>
      <w:pPr>
        <w:pStyle w:val="ListBullet"/>
        <w:keepLines w:val="1"/>
        <w:keepNext w:val="1"/>
        <w:widowControl w:val="1"/>
      </w:pPr>
      <w:r>
        <w:t>Los modelos de madurez NIS2 (NIS360). [web:22][web:26]</w:t>
      </w:r>
    </w:p>
    <w:p>
      <w:pPr>
        <w:pStyle w:val="ListBullet"/>
        <w:keepLines w:val="1"/>
        <w:keepNext w:val="1"/>
        <w:widowControl w:val="1"/>
      </w:pPr>
      <w:r>
        <w:t>El mapeo práctico entre RGPD, ISO 27001 e ISO 27701. [web:23][web:27]</w:t>
      </w:r>
    </w:p>
    <w:p>
      <w:pPr>
        <w:pStyle w:val="ListBullet"/>
        <w:keepLines w:val="1"/>
        <w:widowControl w:val="1"/>
      </w:pPr>
      <w:r>
        <w:t>Informes sobre brechas, sanciones y costes globales. [web:12][web:3][web:6][web:11]</w:t>
      </w:r>
    </w:p>
    <w:p>
      <w:pPr>
        <w:pStyle w:val="Heading2"/>
        <w:keepNext/>
        <w:keepLines/>
      </w:pPr>
      <w:r>
        <w:rPr>
          <w:color w:val="0066CC"/>
        </w:rPr>
        <w:t>Licencia de uso (informal, pero seria)</w:t>
      </w:r>
    </w:p>
    <w:p>
      <w:r>
        <w:t>Puede adaptar libremente este kit para:</w:t>
      </w:r>
    </w:p>
    <w:p>
      <w:pPr>
        <w:pStyle w:val="ListBullet"/>
        <w:keepLines w:val="1"/>
        <w:keepNext w:val="1"/>
        <w:widowControl w:val="1"/>
      </w:pPr>
      <w:r>
        <w:t>uso interno en su organización,</w:t>
      </w:r>
    </w:p>
    <w:p>
      <w:pPr>
        <w:pStyle w:val="ListBullet"/>
        <w:keepLines w:val="1"/>
        <w:keepNext w:val="1"/>
        <w:widowControl w:val="1"/>
      </w:pPr>
      <w:r>
        <w:t>proyectos de consultoría,</w:t>
      </w:r>
    </w:p>
    <w:p>
      <w:pPr>
        <w:pStyle w:val="ListBullet"/>
        <w:keepLines w:val="1"/>
        <w:widowControl w:val="1"/>
      </w:pPr>
      <w:r>
        <w:t>investigaciones y estudios comparativos.</w:t>
      </w:r>
    </w:p>
    <w:p>
      <w:r>
        <w:t>Se agradece citar la procedencia conceptual (sin necesidad de solemnidades) y,</w:t>
      </w:r>
      <w:r/>
      <w:r>
        <w:br/>
        <w:t>sobre todo, mantener el espíritu: rigor normativo, aterrizaje técnico y un</w:t>
      </w:r>
      <w:r/>
      <w:r>
        <w:br/>
        <w:t>mínimo de ironía para navegar la complejidad sin perder la salud mental.</w:t>
      </w:r>
    </w:p>
    <w:p>
      <w:pPr>
        <w:pStyle w:val="Heading2"/>
        <w:keepNext/>
        <w:keepLines/>
      </w:pPr>
      <w:r>
        <w:rPr>
          <w:color w:val="0066CC"/>
        </w:rPr>
        <w:t>Última recomendación</w:t>
      </w:r>
    </w:p>
    <w:p>
      <w:r>
        <w:t>Antes de enviar la encuesta, hágase esta pregunta:</w:t>
      </w:r>
    </w:p>
    <w:p>
      <w:r>
        <w:t>“¿Respondería yo mismo con honestidad brutal a esta encuesta si fuera el CISO?”</w:t>
      </w:r>
    </w:p>
    <w:p>
      <w:r>
        <w:t>Si la respuesta es sí, adelante. Si la respuesta es no, todavía está a tiempo</w:t>
      </w:r>
      <w:r/>
      <w:r>
        <w:br/>
        <w:t>de ajustar tono, alcance o destinatarios.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