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Modelo de Encuesta Integral sobre Preparación y Métricas CRA</w:t>
      </w:r>
    </w:p>
    <w:p>
      <w:r>
        <w:t>Versión: 1.0</w:t>
      </w:r>
      <w:r/>
      <w:r>
        <w:br/>
        <w:t>Ámbito: Empresas que diseñan, fabrican, integran, distribuyen o explotan productos con elementos digitales bajo el paraguas del Cyber Resilience Act (CRA).</w:t>
      </w:r>
    </w:p>
    <w:p>
      <w:pPr>
        <w:pStyle w:val="Heading2"/>
        <w:keepNext/>
        <w:keepLines/>
      </w:pPr>
      <w:r>
        <w:rPr>
          <w:color w:val="0066CC"/>
        </w:rPr>
        <w:t>0. Instrucciones generales</w:t>
      </w:r>
    </w:p>
    <w:p>
      <w:r>
        <w:t>Esta encuesta pretende comprender hasta qué punto su organización está preparada —en la teoría, en la práctica y en las largas tardes de incidentes— para un mundo en el que el CRA ya no es un borrador lejano, sino un hecho regulatorio consumado.</w:t>
      </w:r>
    </w:p>
    <w:p>
      <w:r>
        <w:t>No buscamos “respuestas perfectas”, sino una radiografía honesta. Puede responder en nombre de toda la organización si tiene visibilidad transversal; en caso contrario, responda desde la perspectiva de su unidad, indicando el alcance al final.</w:t>
      </w:r>
    </w:p>
    <w:p>
      <w:pPr>
        <w:pStyle w:val="Heading2"/>
        <w:keepNext/>
        <w:keepLines/>
      </w:pPr>
      <w:r>
        <w:rPr>
          <w:color w:val="0066CC"/>
        </w:rPr>
        <w:t>1. Perfil de la organización</w:t>
      </w:r>
    </w:p>
    <w:p>
      <w:pPr>
        <w:pStyle w:val="Heading3"/>
        <w:keepNext/>
        <w:keepLines/>
      </w:pPr>
      <w:r>
        <w:t>1.1 Datos básicos</w:t>
      </w:r>
    </w:p>
    <w:p>
      <w:r>
        <w:rPr>
          <w:b/>
        </w:rPr>
        <w:t>P1. Tipo principal de actividad de su organización (marque la opción predominante):</w:t>
      </w:r>
    </w:p>
    <w:p>
      <w:pPr>
        <w:pStyle w:val="ListBullet"/>
        <w:keepLines w:val="1"/>
        <w:keepNext w:val="1"/>
        <w:widowControl w:val="1"/>
      </w:pPr>
      <w:r>
        <w:t>[ ] Fabricante de productos con elementos digitales (hardware, software embebido, IoT, etc.)</w:t>
      </w:r>
    </w:p>
    <w:p>
      <w:pPr>
        <w:pStyle w:val="ListBullet"/>
        <w:keepLines w:val="1"/>
        <w:keepNext w:val="1"/>
        <w:widowControl w:val="1"/>
      </w:pPr>
      <w:r>
        <w:t>[ ] Desarrollador de software independiente (software puro, SaaS, plataformas)</w:t>
      </w:r>
    </w:p>
    <w:p>
      <w:pPr>
        <w:pStyle w:val="ListBullet"/>
        <w:keepLines w:val="1"/>
        <w:keepNext w:val="1"/>
        <w:widowControl w:val="1"/>
      </w:pPr>
      <w:r>
        <w:t>[ ] Integrador de sistemas / proveedor de servicios gestionados</w:t>
      </w:r>
    </w:p>
    <w:p>
      <w:pPr>
        <w:pStyle w:val="ListBullet"/>
        <w:keepLines w:val="1"/>
        <w:keepNext w:val="1"/>
        <w:widowControl w:val="1"/>
      </w:pPr>
      <w:r>
        <w:t>[ ] Distribuidor / importador de productos con elementos digitales</w:t>
      </w:r>
    </w:p>
    <w:p>
      <w:pPr>
        <w:pStyle w:val="ListBullet"/>
        <w:keepLines w:val="1"/>
        <w:keepNext w:val="1"/>
        <w:widowControl w:val="1"/>
      </w:pPr>
      <w:r>
        <w:t>[ ] Usuario final intensivo (operador de servicios esenciales, infraestructuras críticas, AA.PP.)</w:t>
      </w:r>
    </w:p>
    <w:p>
      <w:pPr>
        <w:pStyle w:val="ListBullet"/>
        <w:keepLines w:val="1"/>
        <w:widowControl w:val="1"/>
      </w:pPr>
      <w:r>
        <w:t>[ ] Otro (especificar): _______</w:t>
      </w:r>
    </w:p>
    <w:p>
      <w:r>
        <w:rPr>
          <w:b/>
        </w:rPr>
        <w:t>P2. Tamaño aproximado de la organización (a nivel global):</w:t>
      </w:r>
    </w:p>
    <w:p>
      <w:pPr>
        <w:pStyle w:val="ListBullet"/>
        <w:keepLines w:val="1"/>
        <w:keepNext w:val="1"/>
        <w:widowControl w:val="1"/>
      </w:pPr>
      <w:r>
        <w:t>[ ] Micro (1–9 personas)</w:t>
      </w:r>
    </w:p>
    <w:p>
      <w:pPr>
        <w:pStyle w:val="ListBullet"/>
        <w:keepLines w:val="1"/>
        <w:keepNext w:val="1"/>
        <w:widowControl w:val="1"/>
      </w:pPr>
      <w:r>
        <w:t>[ ] Pequeña (10–49 personas)</w:t>
      </w:r>
    </w:p>
    <w:p>
      <w:pPr>
        <w:pStyle w:val="ListBullet"/>
        <w:keepLines w:val="1"/>
        <w:keepNext w:val="1"/>
        <w:widowControl w:val="1"/>
      </w:pPr>
      <w:r>
        <w:t>[ ] Mediana (50–249 personas)</w:t>
      </w:r>
    </w:p>
    <w:p>
      <w:pPr>
        <w:pStyle w:val="ListBullet"/>
        <w:keepLines w:val="1"/>
        <w:widowControl w:val="1"/>
      </w:pPr>
      <w:r>
        <w:t>[ ] Grande (≥ 250 personas)</w:t>
      </w:r>
    </w:p>
    <w:p>
      <w:r>
        <w:rPr>
          <w:b/>
        </w:rPr>
        <w:t>P3. Presencia en el mercado de la UE:</w:t>
      </w:r>
    </w:p>
    <w:p>
      <w:pPr>
        <w:pStyle w:val="ListBullet"/>
        <w:keepLines w:val="1"/>
        <w:keepNext w:val="1"/>
        <w:widowControl w:val="1"/>
      </w:pPr>
      <w:r>
        <w:t>[ ] Sin actividad directa en la UE (pero suministramos a terceros con actividad en la UE)</w:t>
      </w:r>
    </w:p>
    <w:p>
      <w:pPr>
        <w:pStyle w:val="ListBullet"/>
        <w:keepLines w:val="1"/>
        <w:keepNext w:val="1"/>
        <w:widowControl w:val="1"/>
      </w:pPr>
      <w:r>
        <w:t>[ ] Operamos en 1–2 Estados miembros</w:t>
      </w:r>
    </w:p>
    <w:p>
      <w:pPr>
        <w:pStyle w:val="ListBullet"/>
        <w:keepLines w:val="1"/>
        <w:keepNext w:val="1"/>
        <w:widowControl w:val="1"/>
      </w:pPr>
      <w:r>
        <w:t>[ ] Operamos en 3–10 Estados miembros</w:t>
      </w:r>
    </w:p>
    <w:p>
      <w:pPr>
        <w:pStyle w:val="ListBullet"/>
        <w:keepLines w:val="1"/>
        <w:widowControl w:val="1"/>
      </w:pPr>
      <w:r>
        <w:t>[ ] Operamos en más de 10 Estados miembros</w:t>
      </w:r>
    </w:p>
    <w:p>
      <w:r>
        <w:rPr>
          <w:b/>
        </w:rPr>
        <w:t>P4. Rol del/de la respondente en la organización:</w:t>
      </w:r>
    </w:p>
    <w:p>
      <w:pPr>
        <w:pStyle w:val="ListBullet"/>
        <w:keepLines w:val="1"/>
        <w:keepNext w:val="1"/>
        <w:widowControl w:val="1"/>
      </w:pPr>
      <w:r>
        <w:t>[ ] Dirección (CEO, COO, Director General)</w:t>
      </w:r>
    </w:p>
    <w:p>
      <w:pPr>
        <w:pStyle w:val="ListBullet"/>
        <w:keepLines w:val="1"/>
        <w:keepNext w:val="1"/>
        <w:widowControl w:val="1"/>
      </w:pPr>
      <w:r>
        <w:t>[ ] CISO / Responsable de Seguridad de la Información</w:t>
      </w:r>
    </w:p>
    <w:p>
      <w:pPr>
        <w:pStyle w:val="ListBullet"/>
        <w:keepLines w:val="1"/>
        <w:keepNext w:val="1"/>
        <w:widowControl w:val="1"/>
      </w:pPr>
      <w:r>
        <w:t>[ ] CTO / Dirección de Tecnología / Ingeniería</w:t>
      </w:r>
    </w:p>
    <w:p>
      <w:pPr>
        <w:pStyle w:val="ListBullet"/>
        <w:keepLines w:val="1"/>
        <w:keepNext w:val="1"/>
        <w:widowControl w:val="1"/>
      </w:pPr>
      <w:r>
        <w:t>[ ] Dirección de Producto / Calidad / Conformidad</w:t>
      </w:r>
    </w:p>
    <w:p>
      <w:pPr>
        <w:pStyle w:val="ListBullet"/>
        <w:keepLines w:val="1"/>
        <w:keepNext w:val="1"/>
        <w:widowControl w:val="1"/>
      </w:pPr>
      <w:r>
        <w:t>[ ] Asesoría Jurídica / Compliance</w:t>
      </w:r>
    </w:p>
    <w:p>
      <w:pPr>
        <w:pStyle w:val="ListBullet"/>
        <w:keepLines w:val="1"/>
        <w:widowControl w:val="1"/>
      </w:pPr>
      <w:r>
        <w:t>[ ] Otra posición (especificar): _________</w:t>
      </w:r>
    </w:p>
    <w:p>
      <w:pPr>
        <w:pStyle w:val="Heading2"/>
        <w:keepNext/>
        <w:keepLines/>
      </w:pPr>
      <w:r>
        <w:rPr>
          <w:color w:val="0066CC"/>
        </w:rPr>
        <w:t>2. Conocimiento y gobernanza del CRA</w:t>
      </w:r>
    </w:p>
    <w:p>
      <w:pPr>
        <w:pStyle w:val="Heading3"/>
        <w:keepNext/>
        <w:keepLines/>
      </w:pPr>
      <w:r>
        <w:t>2.1 Nivel de conocimiento</w:t>
      </w:r>
    </w:p>
    <w:p>
      <w:r>
        <w:rPr>
          <w:b/>
        </w:rPr>
        <w:t>P5. ¿Cómo describiría el nivel de conocimiento del CRA en su organización?</w:t>
      </w:r>
    </w:p>
    <w:p>
      <w:pPr>
        <w:pStyle w:val="ListBullet"/>
        <w:keepLines w:val="1"/>
        <w:keepNext w:val="1"/>
        <w:widowControl w:val="1"/>
      </w:pPr>
      <w:r>
        <w:t>[ ] No hemos oído hablar del CRA (o lo confundimos con una nueva moda de zapatillas)</w:t>
      </w:r>
    </w:p>
    <w:p>
      <w:pPr>
        <w:pStyle w:val="ListBullet"/>
        <w:keepLines w:val="1"/>
        <w:keepNext w:val="1"/>
        <w:widowControl w:val="1"/>
      </w:pPr>
      <w:r>
        <w:t>[ ] Conocimiento básico en el equipo de seguridad o legal, limitado en el resto</w:t>
      </w:r>
    </w:p>
    <w:p>
      <w:pPr>
        <w:pStyle w:val="ListBullet"/>
        <w:keepLines w:val="1"/>
        <w:keepNext w:val="1"/>
        <w:widowControl w:val="1"/>
      </w:pPr>
      <w:r>
        <w:t>[ ] Conocimiento intermedio en varios equipos clave (seguridad, legal, producto)</w:t>
      </w:r>
    </w:p>
    <w:p>
      <w:pPr>
        <w:pStyle w:val="ListBullet"/>
        <w:keepLines w:val="1"/>
        <w:keepNext w:val="1"/>
        <w:widowControl w:val="1"/>
      </w:pPr>
      <w:r>
        <w:t>[ ] Conocimiento avanzado y estructurado en la mayoría de áreas relevantes</w:t>
      </w:r>
    </w:p>
    <w:p>
      <w:pPr>
        <w:pStyle w:val="ListBullet"/>
        <w:keepLines w:val="1"/>
        <w:widowControl w:val="1"/>
      </w:pPr>
      <w:r>
        <w:t>[ ] El CRA es parte central de nuestra estrategia de producto y cumplimiento</w:t>
      </w:r>
    </w:p>
    <w:p>
      <w:r>
        <w:rPr>
          <w:b/>
        </w:rPr>
        <w:t>P6. ¿Existe una persona o función claramente designada como responsable interna del cumplimiento del CRA?</w:t>
      </w:r>
    </w:p>
    <w:p>
      <w:pPr>
        <w:pStyle w:val="ListBullet"/>
        <w:keepLines w:val="1"/>
        <w:keepNext w:val="1"/>
        <w:widowControl w:val="1"/>
      </w:pPr>
      <w:r>
        <w:t>[ ] Sí, una persona designada con dedicación significativa</w:t>
      </w:r>
    </w:p>
    <w:p>
      <w:pPr>
        <w:pStyle w:val="ListBullet"/>
        <w:keepLines w:val="1"/>
        <w:keepNext w:val="1"/>
        <w:widowControl w:val="1"/>
      </w:pPr>
      <w:r>
        <w:t>[ ] Sí, un equipo o comité interfuncional</w:t>
      </w:r>
    </w:p>
    <w:p>
      <w:pPr>
        <w:pStyle w:val="ListBullet"/>
        <w:keepLines w:val="1"/>
        <w:keepNext w:val="1"/>
        <w:widowControl w:val="1"/>
      </w:pPr>
      <w:r>
        <w:t>[ ] Se asume que es responsabilidad del CISO</w:t>
      </w:r>
    </w:p>
    <w:p>
      <w:pPr>
        <w:pStyle w:val="ListBullet"/>
        <w:keepLines w:val="1"/>
        <w:keepNext w:val="1"/>
        <w:widowControl w:val="1"/>
      </w:pPr>
      <w:r>
        <w:t>[ ] Se asume que es responsabilidad del asesor jurídico / compliance</w:t>
      </w:r>
    </w:p>
    <w:p>
      <w:pPr>
        <w:pStyle w:val="ListBullet"/>
        <w:keepLines w:val="1"/>
        <w:keepNext w:val="1"/>
        <w:widowControl w:val="1"/>
      </w:pPr>
      <w:r>
        <w:t>[ ] No, aún no está definido</w:t>
      </w:r>
    </w:p>
    <w:p>
      <w:pPr>
        <w:pStyle w:val="ListBullet"/>
        <w:keepLines w:val="1"/>
        <w:widowControl w:val="1"/>
      </w:pPr>
      <w:r>
        <w:t>[ ] No, y honestamente no vemos la urgencia</w:t>
      </w:r>
    </w:p>
    <w:p>
      <w:pPr>
        <w:pStyle w:val="Heading3"/>
        <w:keepNext/>
        <w:keepLines/>
      </w:pPr>
      <w:r>
        <w:t>2.2 Integración en la gobernanza</w:t>
      </w:r>
    </w:p>
    <w:p>
      <w:r>
        <w:rPr>
          <w:b/>
        </w:rPr>
        <w:t>P7. ¿En qué medida el CRA está integrado en la gobernanza corporativa (comités, reporting al Consejo, etc.)?</w:t>
      </w:r>
    </w:p>
    <w:p>
      <w:pPr>
        <w:pStyle w:val="ListBullet"/>
        <w:keepLines w:val="1"/>
        <w:keepNext w:val="1"/>
        <w:widowControl w:val="1"/>
      </w:pPr>
      <w:r>
        <w:t>[ ] No se trata en ningún órgano formal de gobierno</w:t>
      </w:r>
    </w:p>
    <w:p>
      <w:pPr>
        <w:pStyle w:val="ListBullet"/>
        <w:keepLines w:val="1"/>
        <w:keepNext w:val="1"/>
        <w:widowControl w:val="1"/>
      </w:pPr>
      <w:r>
        <w:t>[ ] Se menciona de forma ad hoc, sin un punto fijo en la agenda</w:t>
      </w:r>
    </w:p>
    <w:p>
      <w:pPr>
        <w:pStyle w:val="ListBullet"/>
        <w:keepLines w:val="1"/>
        <w:keepNext w:val="1"/>
        <w:widowControl w:val="1"/>
      </w:pPr>
      <w:r>
        <w:t>[ ] Tiene un punto recurrente en comités técnicos o de riesgo</w:t>
      </w:r>
    </w:p>
    <w:p>
      <w:pPr>
        <w:pStyle w:val="ListBullet"/>
        <w:keepLines w:val="1"/>
        <w:keepNext w:val="1"/>
        <w:widowControl w:val="1"/>
      </w:pPr>
      <w:r>
        <w:t>[ ] Se informa periódicamente al Consejo o máximo órgano de gobierno</w:t>
      </w:r>
    </w:p>
    <w:p>
      <w:pPr>
        <w:pStyle w:val="ListBullet"/>
        <w:keepLines w:val="1"/>
        <w:widowControl w:val="1"/>
      </w:pPr>
      <w:r>
        <w:t>[ ] El Consejo ha aprobado políticas específicas ligadas al CRA (apetito de riesgo, inversiones, etc.)</w:t>
      </w:r>
    </w:p>
    <w:p>
      <w:r>
        <w:rPr>
          <w:b/>
        </w:rPr>
        <w:t>P8. ¿Dispone su organización de una política formal de “producto seguro por diseño y por defecto” alineada con el CRA?</w:t>
      </w:r>
    </w:p>
    <w:p>
      <w:pPr>
        <w:pStyle w:val="ListBullet"/>
        <w:keepLines w:val="1"/>
        <w:keepNext w:val="1"/>
        <w:widowControl w:val="1"/>
      </w:pPr>
      <w:r>
        <w:t>[ ] Sí, aprobada y en vigor, con revisiones periódicas</w:t>
      </w:r>
    </w:p>
    <w:p>
      <w:pPr>
        <w:pStyle w:val="ListBullet"/>
        <w:keepLines w:val="1"/>
        <w:keepNext w:val="1"/>
        <w:widowControl w:val="1"/>
      </w:pPr>
      <w:r>
        <w:t>[ ] Sí, pero aún en implementación</w:t>
      </w:r>
    </w:p>
    <w:p>
      <w:pPr>
        <w:pStyle w:val="ListBullet"/>
        <w:keepLines w:val="1"/>
        <w:keepNext w:val="1"/>
        <w:widowControl w:val="1"/>
      </w:pPr>
      <w:r>
        <w:t>[ ] En borrador</w:t>
      </w:r>
    </w:p>
    <w:p>
      <w:pPr>
        <w:pStyle w:val="ListBullet"/>
        <w:keepLines w:val="1"/>
        <w:keepNext w:val="1"/>
        <w:widowControl w:val="1"/>
      </w:pPr>
      <w:r>
        <w:t>[ ] No, pero nos apoyamos en prácticas informales de ingeniería</w:t>
      </w:r>
    </w:p>
    <w:p>
      <w:pPr>
        <w:pStyle w:val="ListBullet"/>
        <w:keepLines w:val="1"/>
        <w:widowControl w:val="1"/>
      </w:pPr>
      <w:r>
        <w:t>[ ] No, y no es una prioridad actual</w:t>
      </w:r>
    </w:p>
    <w:p>
      <w:pPr>
        <w:pStyle w:val="Heading2"/>
        <w:keepNext/>
        <w:keepLines/>
      </w:pPr>
      <w:r>
        <w:rPr>
          <w:color w:val="0066CC"/>
        </w:rPr>
        <w:t>3. Alcance de productos y conformidad CRA</w:t>
      </w:r>
    </w:p>
    <w:p>
      <w:pPr>
        <w:pStyle w:val="Heading3"/>
        <w:keepNext/>
        <w:keepLines/>
      </w:pPr>
      <w:r>
        <w:t>3.1 Inventario y clasificación</w:t>
      </w:r>
    </w:p>
    <w:p>
      <w:r>
        <w:rPr>
          <w:b/>
        </w:rPr>
        <w:t>P9. ¿Dispone su organización de un inventario actualizado de productos con elementos digitales potencialmente cubiertos por el CRA?</w:t>
      </w:r>
    </w:p>
    <w:p>
      <w:pPr>
        <w:pStyle w:val="ListBullet"/>
        <w:keepLines w:val="1"/>
        <w:keepNext w:val="1"/>
        <w:widowControl w:val="1"/>
      </w:pPr>
      <w:r>
        <w:t>[ ] Sí, completo, centralizado y actualizado al menos trimestralmente</w:t>
      </w:r>
    </w:p>
    <w:p>
      <w:pPr>
        <w:pStyle w:val="ListBullet"/>
        <w:keepLines w:val="1"/>
        <w:keepNext w:val="1"/>
        <w:widowControl w:val="1"/>
      </w:pPr>
      <w:r>
        <w:t>[ ] Sí, pero parcial o distribuido entre varias áreas</w:t>
      </w:r>
    </w:p>
    <w:p>
      <w:pPr>
        <w:pStyle w:val="ListBullet"/>
        <w:keepLines w:val="1"/>
        <w:keepNext w:val="1"/>
        <w:widowControl w:val="1"/>
      </w:pPr>
      <w:r>
        <w:t>[ ] En elaboración</w:t>
      </w:r>
    </w:p>
    <w:p>
      <w:pPr>
        <w:pStyle w:val="ListBullet"/>
        <w:keepLines w:val="1"/>
        <w:widowControl w:val="1"/>
      </w:pPr>
      <w:r>
        <w:t>[ ] No, no tenemos un inventario específico orientado a CRA</w:t>
      </w:r>
    </w:p>
    <w:p>
      <w:r>
        <w:rPr>
          <w:b/>
        </w:rPr>
        <w:t>P10. ¿Clasifica su organización dichos productos por categorías de riesgo o criticidad (por ejemplo, impacto en seguridad, vida humana, infraestructuras críticas)?</w:t>
      </w:r>
    </w:p>
    <w:p>
      <w:pPr>
        <w:pStyle w:val="ListBullet"/>
        <w:keepLines w:val="1"/>
        <w:keepNext w:val="1"/>
        <w:widowControl w:val="1"/>
      </w:pPr>
      <w:r>
        <w:t>[ ] Sí, con un modelo formal y criterios documentados</w:t>
      </w:r>
    </w:p>
    <w:p>
      <w:pPr>
        <w:pStyle w:val="ListBullet"/>
        <w:keepLines w:val="1"/>
        <w:keepNext w:val="1"/>
        <w:widowControl w:val="1"/>
      </w:pPr>
      <w:r>
        <w:t>[ ] Sí, pero el modelo es aún informal o poco consistente</w:t>
      </w:r>
    </w:p>
    <w:p>
      <w:pPr>
        <w:pStyle w:val="ListBullet"/>
        <w:keepLines w:val="1"/>
        <w:keepNext w:val="1"/>
        <w:widowControl w:val="1"/>
      </w:pPr>
      <w:r>
        <w:t>[ ] Estamos diseñando el modelo</w:t>
      </w:r>
    </w:p>
    <w:p>
      <w:pPr>
        <w:pStyle w:val="ListBullet"/>
        <w:keepLines w:val="1"/>
        <w:widowControl w:val="1"/>
      </w:pPr>
      <w:r>
        <w:t>[ ] No, tratamos todos los productos de forma similar por defecto</w:t>
      </w:r>
    </w:p>
    <w:p>
      <w:pPr>
        <w:pStyle w:val="Heading3"/>
        <w:keepNext/>
        <w:keepLines/>
      </w:pPr>
      <w:r>
        <w:t>3.2 Estado de conformidad (autoevaluado)</w:t>
      </w:r>
    </w:p>
    <w:p>
      <w:r>
        <w:rPr>
          <w:b/>
        </w:rPr>
        <w:t>P11. ¿Cuál es el estado aproximado de conformidad CRA de su cartera de productos (estimación interna, aunque no esté auditada)?</w:t>
      </w:r>
    </w:p>
    <w:p>
      <w:pPr>
        <w:pStyle w:val="ListBullet"/>
        <w:keepLines w:val="1"/>
        <w:keepNext w:val="1"/>
        <w:widowControl w:val="1"/>
      </w:pPr>
      <w:r>
        <w:t>[ ] 0–25 % de los productos está razonablemente alineado con CRA</w:t>
      </w:r>
    </w:p>
    <w:p>
      <w:pPr>
        <w:pStyle w:val="ListBullet"/>
        <w:keepLines w:val="1"/>
        <w:keepNext w:val="1"/>
        <w:widowControl w:val="1"/>
      </w:pPr>
      <w:r>
        <w:t>[ ] 26–50 %</w:t>
      </w:r>
    </w:p>
    <w:p>
      <w:pPr>
        <w:pStyle w:val="ListBullet"/>
        <w:keepLines w:val="1"/>
        <w:keepNext w:val="1"/>
        <w:widowControl w:val="1"/>
      </w:pPr>
      <w:r>
        <w:t>[ ] 51–75 %</w:t>
      </w:r>
    </w:p>
    <w:p>
      <w:pPr>
        <w:pStyle w:val="ListBullet"/>
        <w:keepLines w:val="1"/>
        <w:keepNext w:val="1"/>
        <w:widowControl w:val="1"/>
      </w:pPr>
      <w:r>
        <w:t>[ ] 76–100 %</w:t>
      </w:r>
    </w:p>
    <w:p>
      <w:pPr>
        <w:pStyle w:val="ListBullet"/>
        <w:keepLines w:val="1"/>
        <w:widowControl w:val="1"/>
      </w:pPr>
      <w:r>
        <w:t>[ ] No disponemos de esta estimación</w:t>
      </w:r>
    </w:p>
    <w:p>
      <w:r>
        <w:rPr>
          <w:b/>
        </w:rPr>
        <w:t>P12. En relación con la necesidad de certificación (por ejemplo, a través de EUCC u otros esquemas armonizados), su organización:</w:t>
      </w:r>
    </w:p>
    <w:p>
      <w:pPr>
        <w:pStyle w:val="ListBullet"/>
        <w:keepLines w:val="1"/>
        <w:keepNext w:val="1"/>
        <w:widowControl w:val="1"/>
      </w:pPr>
      <w:r>
        <w:t>[ ] Ha identificado qué productos requerirán certificación y en qué nivel</w:t>
      </w:r>
    </w:p>
    <w:p>
      <w:pPr>
        <w:pStyle w:val="ListBullet"/>
        <w:keepLines w:val="1"/>
        <w:keepNext w:val="1"/>
        <w:widowControl w:val="1"/>
      </w:pPr>
      <w:r>
        <w:t>[ ] Está todavía analizando qué productos podrían necesitar certificación</w:t>
      </w:r>
    </w:p>
    <w:p>
      <w:pPr>
        <w:pStyle w:val="ListBullet"/>
        <w:keepLines w:val="1"/>
        <w:keepNext w:val="1"/>
        <w:widowControl w:val="1"/>
      </w:pPr>
      <w:r>
        <w:t>[ ] Confía únicamente en la autoevaluación y documentación técnica</w:t>
      </w:r>
    </w:p>
    <w:p>
      <w:pPr>
        <w:pStyle w:val="ListBullet"/>
        <w:keepLines w:val="1"/>
        <w:widowControl w:val="1"/>
      </w:pPr>
      <w:r>
        <w:t>[ ] No ha abordado aún el tema de certificación</w:t>
      </w:r>
    </w:p>
    <w:p>
      <w:pPr>
        <w:pStyle w:val="Heading2"/>
        <w:keepNext/>
        <w:keepLines/>
      </w:pPr>
      <w:r>
        <w:rPr>
          <w:color w:val="0066CC"/>
        </w:rPr>
        <w:t>4. Desarrollo seguro, SBOM y ciclo de vida</w:t>
      </w:r>
    </w:p>
    <w:p>
      <w:pPr>
        <w:pStyle w:val="Heading3"/>
        <w:keepNext/>
        <w:keepLines/>
      </w:pPr>
      <w:r>
        <w:t>4.1 Prácticas de desarrollo seguro</w:t>
      </w:r>
    </w:p>
    <w:p>
      <w:r>
        <w:rPr>
          <w:b/>
        </w:rPr>
        <w:t>P13. ¿Hasta qué punto están integrados los requisitos de seguridad y CRA en el ciclo de desarrollo (SDLC) de sus productos?</w:t>
      </w:r>
    </w:p>
    <w:p>
      <w:pPr>
        <w:pStyle w:val="ListBullet"/>
        <w:keepLines w:val="1"/>
        <w:keepNext w:val="1"/>
        <w:widowControl w:val="1"/>
      </w:pPr>
      <w:r>
        <w:t>[ ] Integrados desde la fase de ideación / requisitos (security &amp; CRA by design)</w:t>
      </w:r>
    </w:p>
    <w:p>
      <w:pPr>
        <w:pStyle w:val="ListBullet"/>
        <w:keepLines w:val="1"/>
        <w:keepNext w:val="1"/>
        <w:widowControl w:val="1"/>
      </w:pPr>
      <w:r>
        <w:t>[ ] Considerados en las fases de diseño y pruebas, pero no desde el inicio</w:t>
      </w:r>
    </w:p>
    <w:p>
      <w:pPr>
        <w:pStyle w:val="ListBullet"/>
        <w:keepLines w:val="1"/>
        <w:keepNext w:val="1"/>
        <w:widowControl w:val="1"/>
      </w:pPr>
      <w:r>
        <w:t>[ ] Tratados como una fase de “endurecimiento” previa al lanzamiento</w:t>
      </w:r>
    </w:p>
    <w:p>
      <w:pPr>
        <w:pStyle w:val="ListBullet"/>
        <w:keepLines w:val="1"/>
        <w:keepNext w:val="1"/>
        <w:widowControl w:val="1"/>
      </w:pPr>
      <w:r>
        <w:t>[ ] Principalmente reactivos, en respuesta a incidentes o auditorías</w:t>
      </w:r>
    </w:p>
    <w:p>
      <w:pPr>
        <w:pStyle w:val="ListBullet"/>
        <w:keepLines w:val="1"/>
        <w:widowControl w:val="1"/>
      </w:pPr>
      <w:r>
        <w:t>[ ] No existe integración sistemática conocida</w:t>
      </w:r>
    </w:p>
    <w:p>
      <w:r>
        <w:rPr>
          <w:b/>
        </w:rPr>
        <w:t>P14. ¿Utilizan modelos o normativas de referencia (ISO/IEC 27001, 62443, NIST, etc.) mapeados explícitamente a los requisitos del CRA?</w:t>
      </w:r>
    </w:p>
    <w:p>
      <w:pPr>
        <w:pStyle w:val="ListBullet"/>
        <w:keepLines w:val="1"/>
        <w:keepNext w:val="1"/>
        <w:widowControl w:val="1"/>
      </w:pPr>
      <w:r>
        <w:t>[ ] Sí, tenemos mapeos formales a uno o varios estándares</w:t>
      </w:r>
    </w:p>
    <w:p>
      <w:pPr>
        <w:pStyle w:val="ListBullet"/>
        <w:keepLines w:val="1"/>
        <w:keepNext w:val="1"/>
        <w:widowControl w:val="1"/>
      </w:pPr>
      <w:r>
        <w:t>[ ] Sí, pero el mapeo es parcial e informal</w:t>
      </w:r>
    </w:p>
    <w:p>
      <w:pPr>
        <w:pStyle w:val="ListBullet"/>
        <w:keepLines w:val="1"/>
        <w:keepNext w:val="1"/>
        <w:widowControl w:val="1"/>
      </w:pPr>
      <w:r>
        <w:t>[ ] No, pero lo estamos considerando</w:t>
      </w:r>
    </w:p>
    <w:p>
      <w:pPr>
        <w:pStyle w:val="ListBullet"/>
        <w:keepLines w:val="1"/>
        <w:widowControl w:val="1"/>
      </w:pPr>
      <w:r>
        <w:t>[ ] No, y no vemos valor en hacerlo actualmente</w:t>
      </w:r>
    </w:p>
    <w:p>
      <w:pPr>
        <w:pStyle w:val="Heading3"/>
        <w:keepNext/>
        <w:keepLines/>
      </w:pPr>
      <w:r>
        <w:t>4.2 Materiales de lista de componentes (SBOM) y dependencias</w:t>
      </w:r>
    </w:p>
    <w:p>
      <w:r>
        <w:rPr>
          <w:b/>
        </w:rPr>
        <w:t>P15. En relación con SBOM (Software Bill of Materials) para sus productos:</w:t>
      </w:r>
    </w:p>
    <w:p>
      <w:pPr>
        <w:pStyle w:val="ListBullet"/>
        <w:keepLines w:val="1"/>
        <w:keepNext w:val="1"/>
        <w:widowControl w:val="1"/>
      </w:pPr>
      <w:r>
        <w:t>[ ] Disponemos de SBOM completos y automatizados para la mayoría de los productos</w:t>
      </w:r>
    </w:p>
    <w:p>
      <w:pPr>
        <w:pStyle w:val="ListBullet"/>
        <w:keepLines w:val="1"/>
        <w:keepNext w:val="1"/>
        <w:widowControl w:val="1"/>
      </w:pPr>
      <w:r>
        <w:t>[ ] Disponemos de SBOM parciales o manuales</w:t>
      </w:r>
    </w:p>
    <w:p>
      <w:pPr>
        <w:pStyle w:val="ListBullet"/>
        <w:keepLines w:val="1"/>
        <w:keepNext w:val="1"/>
        <w:widowControl w:val="1"/>
      </w:pPr>
      <w:r>
        <w:t>[ ] Estamos en proceso de implantación de SBOM</w:t>
      </w:r>
    </w:p>
    <w:p>
      <w:pPr>
        <w:pStyle w:val="ListBullet"/>
        <w:keepLines w:val="1"/>
        <w:widowControl w:val="1"/>
      </w:pPr>
      <w:r>
        <w:t>[ ] No utilizamos SBOM ni tenemos planes inmediatos de hacerlo</w:t>
      </w:r>
    </w:p>
    <w:p>
      <w:r>
        <w:rPr>
          <w:b/>
        </w:rPr>
        <w:t>P16. ¿Cómo gestiona su organización las dependencias de terceros (bibliotecas, firmware, servicios) en términos de vulnerabilidades?</w:t>
      </w:r>
    </w:p>
    <w:p>
      <w:pPr>
        <w:pStyle w:val="ListBullet"/>
        <w:keepLines w:val="1"/>
        <w:keepNext w:val="1"/>
        <w:widowControl w:val="1"/>
      </w:pPr>
      <w:r>
        <w:t>[ ] Monitoreo continuo automatizado, con criterios de criticidad y SLA de remediación</w:t>
      </w:r>
    </w:p>
    <w:p>
      <w:pPr>
        <w:pStyle w:val="ListBullet"/>
        <w:keepLines w:val="1"/>
        <w:keepNext w:val="1"/>
        <w:widowControl w:val="1"/>
      </w:pPr>
      <w:r>
        <w:t>[ ] Revisiones periódicas manuales y remediación case by case</w:t>
      </w:r>
    </w:p>
    <w:p>
      <w:pPr>
        <w:pStyle w:val="ListBullet"/>
        <w:keepLines w:val="1"/>
        <w:keepNext w:val="1"/>
        <w:widowControl w:val="1"/>
      </w:pPr>
      <w:r>
        <w:t>[ ] Revisiones puntuales ligadas a releases importantes</w:t>
      </w:r>
    </w:p>
    <w:p>
      <w:pPr>
        <w:pStyle w:val="ListBullet"/>
        <w:keepLines w:val="1"/>
        <w:widowControl w:val="1"/>
      </w:pPr>
      <w:r>
        <w:t>[ ] No existe un proceso sistemático identificado</w:t>
      </w:r>
    </w:p>
    <w:p>
      <w:pPr>
        <w:pStyle w:val="Heading2"/>
        <w:keepNext/>
        <w:keepLines/>
      </w:pPr>
      <w:r>
        <w:rPr>
          <w:color w:val="0066CC"/>
        </w:rPr>
        <w:t>5. Gestión de vulnerabilidades y parches (indicadores clave CRA)</w:t>
      </w:r>
    </w:p>
    <w:p>
      <w:pPr>
        <w:pStyle w:val="Heading3"/>
        <w:keepNext/>
        <w:keepLines/>
      </w:pPr>
      <w:r>
        <w:t>5.1 Proceso y tiempos</w:t>
      </w:r>
    </w:p>
    <w:p>
      <w:r>
        <w:rPr>
          <w:b/>
        </w:rPr>
        <w:t>P17. ¿Dispone su organización de un proceso formal de gestión de vulnerabilidades para productos cubiertos por el CRA?</w:t>
      </w:r>
    </w:p>
    <w:p>
      <w:pPr>
        <w:pStyle w:val="ListBullet"/>
        <w:keepLines w:val="1"/>
        <w:keepNext w:val="1"/>
        <w:widowControl w:val="1"/>
      </w:pPr>
      <w:r>
        <w:t>[ ] Sí, con procedimientos documentados y roles definidos</w:t>
      </w:r>
    </w:p>
    <w:p>
      <w:pPr>
        <w:pStyle w:val="ListBullet"/>
        <w:keepLines w:val="1"/>
        <w:keepNext w:val="1"/>
        <w:widowControl w:val="1"/>
      </w:pPr>
      <w:r>
        <w:t>[ ] Sí, pero sólo a nivel de buenas prácticas conocidas internamente</w:t>
      </w:r>
    </w:p>
    <w:p>
      <w:pPr>
        <w:pStyle w:val="ListBullet"/>
        <w:keepLines w:val="1"/>
        <w:keepNext w:val="1"/>
        <w:widowControl w:val="1"/>
      </w:pPr>
      <w:r>
        <w:t>[ ] En fase de diseño o implantación</w:t>
      </w:r>
    </w:p>
    <w:p>
      <w:pPr>
        <w:pStyle w:val="ListBullet"/>
        <w:keepLines w:val="1"/>
        <w:widowControl w:val="1"/>
      </w:pPr>
      <w:r>
        <w:t>[ ] No, se trata de forma ad hoc</w:t>
      </w:r>
    </w:p>
    <w:p>
      <w:r>
        <w:rPr>
          <w:b/>
        </w:rPr>
        <w:t>P18. Indique, de forma aproximada, el tiempo medio entre la identificación de una vulnerabilidad crítica en un producto y la disponibilidad de un parche (time to patch – TTP):</w:t>
      </w:r>
    </w:p>
    <w:p>
      <w:pPr>
        <w:pStyle w:val="ListBullet"/>
        <w:keepLines w:val="1"/>
        <w:keepNext w:val="1"/>
        <w:widowControl w:val="1"/>
      </w:pPr>
      <w:r>
        <w:t>[ ] Menos de 7 días</w:t>
      </w:r>
    </w:p>
    <w:p>
      <w:pPr>
        <w:pStyle w:val="ListBullet"/>
        <w:keepLines w:val="1"/>
        <w:keepNext w:val="1"/>
        <w:widowControl w:val="1"/>
      </w:pPr>
      <w:r>
        <w:t>[ ] Entre 7 y 30 días</w:t>
      </w:r>
    </w:p>
    <w:p>
      <w:pPr>
        <w:pStyle w:val="ListBullet"/>
        <w:keepLines w:val="1"/>
        <w:keepNext w:val="1"/>
        <w:widowControl w:val="1"/>
      </w:pPr>
      <w:r>
        <w:t>[ ] Entre 31 y 90 días</w:t>
      </w:r>
    </w:p>
    <w:p>
      <w:pPr>
        <w:pStyle w:val="ListBullet"/>
        <w:keepLines w:val="1"/>
        <w:keepNext w:val="1"/>
        <w:widowControl w:val="1"/>
      </w:pPr>
      <w:r>
        <w:t>[ ] Más de 90 días</w:t>
      </w:r>
    </w:p>
    <w:p>
      <w:pPr>
        <w:pStyle w:val="ListBullet"/>
        <w:keepLines w:val="1"/>
        <w:widowControl w:val="1"/>
      </w:pPr>
      <w:r>
        <w:t>[ ] No medimos este indicador</w:t>
      </w:r>
    </w:p>
    <w:p>
      <w:r>
        <w:rPr>
          <w:b/>
        </w:rPr>
        <w:t>P19. ¿Monitorizan el porcentaje de instalaciones de sus productos que han aplicado un parche crítico dentro de un plazo determinado (por ejemplo, 30 días)?</w:t>
      </w:r>
    </w:p>
    <w:p>
      <w:pPr>
        <w:pStyle w:val="ListBullet"/>
        <w:keepLines w:val="1"/>
        <w:keepNext w:val="1"/>
        <w:widowControl w:val="1"/>
      </w:pPr>
      <w:r>
        <w:t>[ ] Sí, con visibilidad detallada por cliente o segmento</w:t>
      </w:r>
    </w:p>
    <w:p>
      <w:pPr>
        <w:pStyle w:val="ListBullet"/>
        <w:keepLines w:val="1"/>
        <w:keepNext w:val="1"/>
        <w:widowControl w:val="1"/>
      </w:pPr>
      <w:r>
        <w:t>[ ] Sí, pero sólo de forma agregada (“aproximadamente X %”)</w:t>
      </w:r>
    </w:p>
    <w:p>
      <w:pPr>
        <w:pStyle w:val="ListBullet"/>
        <w:keepLines w:val="1"/>
        <w:keepNext w:val="1"/>
        <w:widowControl w:val="1"/>
      </w:pPr>
      <w:r>
        <w:t>[ ] Sólo en algunos productos o servicios conectados</w:t>
      </w:r>
    </w:p>
    <w:p>
      <w:pPr>
        <w:pStyle w:val="ListBullet"/>
        <w:keepLines w:val="1"/>
        <w:widowControl w:val="1"/>
      </w:pPr>
      <w:r>
        <w:t>[ ] No, carecemos de visibilidad suficiente</w:t>
      </w:r>
    </w:p>
    <w:p>
      <w:pPr>
        <w:pStyle w:val="Heading3"/>
        <w:keepNext/>
        <w:keepLines/>
      </w:pPr>
      <w:r>
        <w:t>5.2 Coordinated Vulnerability Disclosure (CVD)</w:t>
      </w:r>
    </w:p>
    <w:p>
      <w:r>
        <w:rPr>
          <w:b/>
        </w:rPr>
        <w:t>P20. ¿Cuenta su organización con una política pública de Coordinated Vulnerability Disclosure (CVD) o programa de bug bounty?</w:t>
      </w:r>
    </w:p>
    <w:p>
      <w:pPr>
        <w:pStyle w:val="ListBullet"/>
        <w:keepLines w:val="1"/>
        <w:keepNext w:val="1"/>
        <w:widowControl w:val="1"/>
      </w:pPr>
      <w:r>
        <w:t>[ ] Sí, con canal público y procesos establecidos</w:t>
      </w:r>
    </w:p>
    <w:p>
      <w:pPr>
        <w:pStyle w:val="ListBullet"/>
        <w:keepLines w:val="1"/>
        <w:keepNext w:val="1"/>
        <w:widowControl w:val="1"/>
      </w:pPr>
      <w:r>
        <w:t>[ ] Sí, pero el proceso es todavía experimental</w:t>
      </w:r>
    </w:p>
    <w:p>
      <w:pPr>
        <w:pStyle w:val="ListBullet"/>
        <w:keepLines w:val="1"/>
        <w:keepNext w:val="1"/>
        <w:widowControl w:val="1"/>
      </w:pPr>
      <w:r>
        <w:t>[ ] En preparación</w:t>
      </w:r>
    </w:p>
    <w:p>
      <w:pPr>
        <w:pStyle w:val="ListBullet"/>
        <w:keepLines w:val="1"/>
        <w:keepNext w:val="1"/>
        <w:widowControl w:val="1"/>
      </w:pPr>
      <w:r>
        <w:t>[ ] No, y no lo tenemos previsto</w:t>
      </w:r>
    </w:p>
    <w:p>
      <w:pPr>
        <w:pStyle w:val="ListBullet"/>
        <w:keepLines w:val="1"/>
        <w:widowControl w:val="1"/>
      </w:pPr>
      <w:r>
        <w:t>[ ] No, pero manejamos casos puntuales informalmente</w:t>
      </w:r>
    </w:p>
    <w:p>
      <w:pPr>
        <w:pStyle w:val="Heading2"/>
        <w:keepNext/>
        <w:keepLines/>
      </w:pPr>
      <w:r>
        <w:rPr>
          <w:color w:val="0066CC"/>
        </w:rPr>
        <w:t>6. Incidentes, notificación y resiliencia operativa</w:t>
      </w:r>
    </w:p>
    <w:p>
      <w:pPr>
        <w:pStyle w:val="Heading3"/>
        <w:keepNext/>
        <w:keepLines/>
      </w:pPr>
      <w:r>
        <w:t>6.1 Detención y respuesta</w:t>
      </w:r>
    </w:p>
    <w:p>
      <w:r>
        <w:rPr>
          <w:b/>
        </w:rPr>
        <w:t>P21. Para incidentes relacionados con productos sujetos al CRA, ¿miden sistemáticamente el tiempo medio de detección (MTTD)?</w:t>
      </w:r>
    </w:p>
    <w:p>
      <w:pPr>
        <w:pStyle w:val="ListBullet"/>
        <w:keepLines w:val="1"/>
        <w:keepNext w:val="1"/>
        <w:widowControl w:val="1"/>
      </w:pPr>
      <w:r>
        <w:t>[ ] Sí, y lo reportamos regularmente a la dirección</w:t>
      </w:r>
    </w:p>
    <w:p>
      <w:pPr>
        <w:pStyle w:val="ListBullet"/>
        <w:keepLines w:val="1"/>
        <w:keepNext w:val="1"/>
        <w:widowControl w:val="1"/>
      </w:pPr>
      <w:r>
        <w:t>[ ] Sí, pero sólo en algunos entornos (por ejemplo, SOC interno)</w:t>
      </w:r>
    </w:p>
    <w:p>
      <w:pPr>
        <w:pStyle w:val="ListBullet"/>
        <w:keepLines w:val="1"/>
        <w:keepNext w:val="1"/>
        <w:widowControl w:val="1"/>
      </w:pPr>
      <w:r>
        <w:t>[ ] No, pero recolectamos datos que podrían permitirlo</w:t>
      </w:r>
    </w:p>
    <w:p>
      <w:pPr>
        <w:pStyle w:val="ListBullet"/>
        <w:keepLines w:val="1"/>
        <w:widowControl w:val="1"/>
      </w:pPr>
      <w:r>
        <w:t>[ ] No, no se mide</w:t>
      </w:r>
    </w:p>
    <w:p>
      <w:r>
        <w:rPr>
          <w:b/>
        </w:rPr>
        <w:t>P22. ¿Miden el tiempo medio de contención / recuperación (MTTC/MTTR) de dichos incidentes?</w:t>
      </w:r>
    </w:p>
    <w:p>
      <w:pPr>
        <w:pStyle w:val="ListBullet"/>
        <w:keepLines w:val="1"/>
        <w:keepNext w:val="1"/>
        <w:widowControl w:val="1"/>
      </w:pPr>
      <w:r>
        <w:t>[ ] Sí, con objetivos definidos (SLO) por tipo de producto/cliente</w:t>
      </w:r>
    </w:p>
    <w:p>
      <w:pPr>
        <w:pStyle w:val="ListBullet"/>
        <w:keepLines w:val="1"/>
        <w:keepNext w:val="1"/>
        <w:widowControl w:val="1"/>
      </w:pPr>
      <w:r>
        <w:t>[ ] Sí, pero sin objetivos explícitos</w:t>
      </w:r>
    </w:p>
    <w:p>
      <w:pPr>
        <w:pStyle w:val="ListBullet"/>
        <w:keepLines w:val="1"/>
        <w:keepNext w:val="1"/>
        <w:widowControl w:val="1"/>
      </w:pPr>
      <w:r>
        <w:t>[ ] No, aunque podríamos reconstruirlo a posteriori</w:t>
      </w:r>
    </w:p>
    <w:p>
      <w:pPr>
        <w:pStyle w:val="ListBullet"/>
        <w:keepLines w:val="1"/>
        <w:widowControl w:val="1"/>
      </w:pPr>
      <w:r>
        <w:t>[ ] No, no se mide</w:t>
      </w:r>
    </w:p>
    <w:p>
      <w:pPr>
        <w:pStyle w:val="Heading3"/>
        <w:keepNext/>
        <w:keepLines/>
      </w:pPr>
      <w:r>
        <w:t>6.2 Notificación CRA y coordinación</w:t>
      </w:r>
    </w:p>
    <w:p>
      <w:r>
        <w:rPr>
          <w:b/>
        </w:rPr>
        <w:t>P23. ¿Dispone su organización de procedimientos preparados para cumplir los plazos de notificación de vulnerabilidades explotadas e incidentes graves establecidos por el CRA (p.ej. 24 horas)?</w:t>
      </w:r>
    </w:p>
    <w:p>
      <w:pPr>
        <w:pStyle w:val="ListBullet"/>
        <w:keepLines w:val="1"/>
        <w:keepNext w:val="1"/>
        <w:widowControl w:val="1"/>
      </w:pPr>
      <w:r>
        <w:t>[ ] Sí, con playbooks probados (simulaciones, ejercicios)</w:t>
      </w:r>
    </w:p>
    <w:p>
      <w:pPr>
        <w:pStyle w:val="ListBullet"/>
        <w:keepLines w:val="1"/>
        <w:keepNext w:val="1"/>
        <w:widowControl w:val="1"/>
      </w:pPr>
      <w:r>
        <w:t>[ ] Sí, pero sólo documentados sobre el papel</w:t>
      </w:r>
    </w:p>
    <w:p>
      <w:pPr>
        <w:pStyle w:val="ListBullet"/>
        <w:keepLines w:val="1"/>
        <w:keepNext w:val="1"/>
        <w:widowControl w:val="1"/>
      </w:pPr>
      <w:r>
        <w:t>[ ] Estamos definiéndolos</w:t>
      </w:r>
    </w:p>
    <w:p>
      <w:pPr>
        <w:pStyle w:val="ListBullet"/>
        <w:keepLines w:val="1"/>
        <w:widowControl w:val="1"/>
      </w:pPr>
      <w:r>
        <w:t>[ ] No, confiamos en improvisar en caso de necesidad</w:t>
      </w:r>
    </w:p>
    <w:p>
      <w:r>
        <w:rPr>
          <w:b/>
        </w:rPr>
        <w:t>P24. ¿Quién coordina la notificación a las autoridades (ENISA, autoridades nacionales, CSIRTs, etc.) en caso de incidente CRA?</w:t>
      </w:r>
    </w:p>
    <w:p>
      <w:pPr>
        <w:pStyle w:val="ListBullet"/>
        <w:keepLines w:val="1"/>
        <w:keepNext w:val="1"/>
        <w:widowControl w:val="1"/>
      </w:pPr>
      <w:r>
        <w:t>[ ] CISO o equipo de seguridad</w:t>
      </w:r>
    </w:p>
    <w:p>
      <w:pPr>
        <w:pStyle w:val="ListBullet"/>
        <w:keepLines w:val="1"/>
        <w:keepNext w:val="1"/>
        <w:widowControl w:val="1"/>
      </w:pPr>
      <w:r>
        <w:t>[ ] Legal / Compliance</w:t>
      </w:r>
    </w:p>
    <w:p>
      <w:pPr>
        <w:pStyle w:val="ListBullet"/>
        <w:keepLines w:val="1"/>
        <w:keepNext w:val="1"/>
        <w:widowControl w:val="1"/>
      </w:pPr>
      <w:r>
        <w:t>[ ] Equipo de Producto / Ingeniería</w:t>
      </w:r>
    </w:p>
    <w:p>
      <w:pPr>
        <w:pStyle w:val="ListBullet"/>
        <w:keepLines w:val="1"/>
        <w:keepNext w:val="1"/>
        <w:widowControl w:val="1"/>
      </w:pPr>
      <w:r>
        <w:t>[ ] Equipo de Comunicación / Relaciones institucionales</w:t>
      </w:r>
    </w:p>
    <w:p>
      <w:pPr>
        <w:pStyle w:val="ListBullet"/>
        <w:keepLines w:val="1"/>
        <w:keepNext w:val="1"/>
        <w:widowControl w:val="1"/>
      </w:pPr>
      <w:r>
        <w:t>[ ] Depende del tipo de incidente</w:t>
      </w:r>
    </w:p>
    <w:p>
      <w:pPr>
        <w:pStyle w:val="ListBullet"/>
        <w:keepLines w:val="1"/>
        <w:widowControl w:val="1"/>
      </w:pPr>
      <w:r>
        <w:t>[ ] No está definido</w:t>
      </w:r>
    </w:p>
    <w:p>
      <w:pPr>
        <w:pStyle w:val="Heading2"/>
        <w:keepNext/>
        <w:keepLines/>
      </w:pPr>
      <w:r>
        <w:rPr>
          <w:color w:val="0066CC"/>
        </w:rPr>
        <w:t>7. Métricas, KPIs y reporting interno</w:t>
      </w:r>
    </w:p>
    <w:p>
      <w:pPr>
        <w:pStyle w:val="Heading3"/>
        <w:keepNext/>
        <w:keepLines/>
      </w:pPr>
      <w:r>
        <w:t>7.1 Cuadro de mando CRA</w:t>
      </w:r>
    </w:p>
    <w:p>
      <w:r>
        <w:rPr>
          <w:b/>
        </w:rPr>
        <w:t>P25. ¿Dispone su organización de un cuadro de mando (dashboard) con indicadores específicos relacionados con el CRA?</w:t>
      </w:r>
    </w:p>
    <w:p>
      <w:pPr>
        <w:pStyle w:val="ListBullet"/>
        <w:keepLines w:val="1"/>
        <w:keepNext w:val="1"/>
        <w:widowControl w:val="1"/>
      </w:pPr>
      <w:r>
        <w:t>[ ] Sí, consolidado y accesible para alta dirección y áreas clave</w:t>
      </w:r>
    </w:p>
    <w:p>
      <w:pPr>
        <w:pStyle w:val="ListBullet"/>
        <w:keepLines w:val="1"/>
        <w:keepNext w:val="1"/>
        <w:widowControl w:val="1"/>
      </w:pPr>
      <w:r>
        <w:t>[ ] Sí, pero disperso en varios informes</w:t>
      </w:r>
    </w:p>
    <w:p>
      <w:pPr>
        <w:pStyle w:val="ListBullet"/>
        <w:keepLines w:val="1"/>
        <w:keepNext w:val="1"/>
        <w:widowControl w:val="1"/>
      </w:pPr>
      <w:r>
        <w:t>[ ] En desarrollo</w:t>
      </w:r>
    </w:p>
    <w:p>
      <w:pPr>
        <w:pStyle w:val="ListBullet"/>
        <w:keepLines w:val="1"/>
        <w:widowControl w:val="1"/>
      </w:pPr>
      <w:r>
        <w:t>[ ] No, usamos indicadores genéricos de ciberseguridad</w:t>
      </w:r>
    </w:p>
    <w:p>
      <w:r>
        <w:rPr>
          <w:b/>
        </w:rPr>
        <w:t>P26. ¿Con qué frecuencia se reportan métricas relevantes para CRA a la alta dirección o al máximo órgano de gobierno?</w:t>
      </w:r>
    </w:p>
    <w:p>
      <w:pPr>
        <w:pStyle w:val="ListBullet"/>
        <w:keepLines w:val="1"/>
        <w:keepNext w:val="1"/>
        <w:widowControl w:val="1"/>
      </w:pPr>
      <w:r>
        <w:t>[ ] Mensual</w:t>
      </w:r>
    </w:p>
    <w:p>
      <w:pPr>
        <w:pStyle w:val="ListBullet"/>
        <w:keepLines w:val="1"/>
        <w:keepNext w:val="1"/>
        <w:widowControl w:val="1"/>
      </w:pPr>
      <w:r>
        <w:t>[ ] Trimestral</w:t>
      </w:r>
    </w:p>
    <w:p>
      <w:pPr>
        <w:pStyle w:val="ListBullet"/>
        <w:keepLines w:val="1"/>
        <w:keepNext w:val="1"/>
        <w:widowControl w:val="1"/>
      </w:pPr>
      <w:r>
        <w:t>[ ] Anual</w:t>
      </w:r>
    </w:p>
    <w:p>
      <w:pPr>
        <w:pStyle w:val="ListBullet"/>
        <w:keepLines w:val="1"/>
        <w:keepNext w:val="1"/>
        <w:widowControl w:val="1"/>
      </w:pPr>
      <w:r>
        <w:t>[ ] Sólo en caso de incidentes importantes</w:t>
      </w:r>
    </w:p>
    <w:p>
      <w:pPr>
        <w:pStyle w:val="ListBullet"/>
        <w:keepLines w:val="1"/>
        <w:widowControl w:val="1"/>
      </w:pPr>
      <w:r>
        <w:t>[ ] No se reportan de forma estructurada</w:t>
      </w:r>
    </w:p>
    <w:p>
      <w:pPr>
        <w:pStyle w:val="Heading3"/>
        <w:keepNext/>
        <w:keepLines/>
      </w:pPr>
      <w:r>
        <w:t>7.2 Indicadores utilizados (selección)</w:t>
      </w:r>
    </w:p>
    <w:p>
      <w:r>
        <w:rPr>
          <w:b/>
        </w:rPr>
        <w:t>P27. Indique cuáles de los siguientes indicadores se miden de forma sistemática (marque todos los que apliquen):</w:t>
      </w:r>
    </w:p>
    <w:p>
      <w:pPr>
        <w:pStyle w:val="ListBullet"/>
        <w:keepLines w:val="1"/>
        <w:keepNext w:val="1"/>
        <w:widowControl w:val="1"/>
      </w:pPr>
      <w:r>
        <w:t>[ ] Número de productos alineados con requisitos CRA vs. total de productos</w:t>
      </w:r>
    </w:p>
    <w:p>
      <w:pPr>
        <w:pStyle w:val="ListBullet"/>
        <w:keepLines w:val="1"/>
        <w:keepNext w:val="1"/>
        <w:widowControl w:val="1"/>
      </w:pPr>
      <w:r>
        <w:t>[ ] Número de vulnerabilidades críticas abiertas en productos CRA</w:t>
      </w:r>
    </w:p>
    <w:p>
      <w:pPr>
        <w:pStyle w:val="ListBullet"/>
        <w:keepLines w:val="1"/>
        <w:keepNext w:val="1"/>
        <w:widowControl w:val="1"/>
      </w:pPr>
      <w:r>
        <w:t>[ ] Edad media de vulnerabilidades críticas (en días)</w:t>
      </w:r>
    </w:p>
    <w:p>
      <w:pPr>
        <w:pStyle w:val="ListBullet"/>
        <w:keepLines w:val="1"/>
        <w:keepNext w:val="1"/>
        <w:widowControl w:val="1"/>
      </w:pPr>
      <w:r>
        <w:t>[ ] TTP (tiempo medio hasta parche)</w:t>
      </w:r>
    </w:p>
    <w:p>
      <w:pPr>
        <w:pStyle w:val="ListBullet"/>
        <w:keepLines w:val="1"/>
        <w:keepNext w:val="1"/>
        <w:widowControl w:val="1"/>
      </w:pPr>
      <w:r>
        <w:t>[ ] Porcentaje de clientes/instalaciones con parche aplicado en plazo objetivo</w:t>
      </w:r>
    </w:p>
    <w:p>
      <w:pPr>
        <w:pStyle w:val="ListBullet"/>
        <w:keepLines w:val="1"/>
        <w:keepNext w:val="1"/>
        <w:widowControl w:val="1"/>
      </w:pPr>
      <w:r>
        <w:t>[ ] Número de incidentes significativos relacionados con productos CRA</w:t>
      </w:r>
    </w:p>
    <w:p>
      <w:pPr>
        <w:pStyle w:val="ListBullet"/>
        <w:keepLines w:val="1"/>
        <w:keepNext w:val="1"/>
        <w:widowControl w:val="1"/>
      </w:pPr>
      <w:r>
        <w:t>[ ] Pérdidas económicas estimadas ligadas a dichos incidentes</w:t>
      </w:r>
    </w:p>
    <w:p>
      <w:pPr>
        <w:pStyle w:val="ListBullet"/>
        <w:keepLines w:val="1"/>
        <w:keepNext w:val="1"/>
        <w:widowControl w:val="1"/>
      </w:pPr>
      <w:r>
        <w:t>[ ] Gasto en seguridad y cumplimiento CRA como % del presupuesto TIC o I+D</w:t>
      </w:r>
    </w:p>
    <w:p>
      <w:pPr>
        <w:pStyle w:val="ListBullet"/>
        <w:keepLines w:val="1"/>
        <w:keepNext w:val="1"/>
        <w:widowControl w:val="1"/>
      </w:pPr>
      <w:r>
        <w:t>[ ] Cobertura de ciberseguro relacionada con productos</w:t>
      </w:r>
    </w:p>
    <w:p>
      <w:pPr>
        <w:pStyle w:val="ListBullet"/>
        <w:keepLines w:val="1"/>
        <w:widowControl w:val="1"/>
      </w:pPr>
      <w:r>
        <w:t>[ ] Otros (especificar): _________</w:t>
      </w:r>
    </w:p>
    <w:p>
      <w:pPr>
        <w:pStyle w:val="Heading2"/>
        <w:keepNext/>
        <w:keepLines/>
      </w:pPr>
      <w:r>
        <w:rPr>
          <w:color w:val="0066CC"/>
        </w:rPr>
        <w:t>8. Capacidades, formación y cultura</w:t>
      </w:r>
    </w:p>
    <w:p>
      <w:pPr>
        <w:pStyle w:val="Heading3"/>
        <w:keepNext/>
        <w:keepLines/>
      </w:pPr>
      <w:r>
        <w:t>8.1 Recursos y capacidades</w:t>
      </w:r>
    </w:p>
    <w:p>
      <w:r>
        <w:rPr>
          <w:b/>
        </w:rPr>
        <w:t>P28. ¿Considera que su organización dispone de recursos suficientes (humanos, técnicos, presupuestarios) para abordar el cumplimiento CRA?</w:t>
      </w:r>
    </w:p>
    <w:p>
      <w:pPr>
        <w:pStyle w:val="ListBullet"/>
        <w:keepLines w:val="1"/>
        <w:keepNext w:val="1"/>
        <w:widowControl w:val="1"/>
      </w:pPr>
      <w:r>
        <w:t>[ ] Sí, sobradamente (algo raro, pero suceder sucede)</w:t>
      </w:r>
    </w:p>
    <w:p>
      <w:pPr>
        <w:pStyle w:val="ListBullet"/>
        <w:keepLines w:val="1"/>
        <w:keepNext w:val="1"/>
        <w:widowControl w:val="1"/>
      </w:pPr>
      <w:r>
        <w:t>[ ] Sí, razonablemente</w:t>
      </w:r>
    </w:p>
    <w:p>
      <w:pPr>
        <w:pStyle w:val="ListBullet"/>
        <w:keepLines w:val="1"/>
        <w:keepNext w:val="1"/>
        <w:widowControl w:val="1"/>
      </w:pPr>
      <w:r>
        <w:t>[ ] A duras penas</w:t>
      </w:r>
    </w:p>
    <w:p>
      <w:pPr>
        <w:pStyle w:val="ListBullet"/>
        <w:keepLines w:val="1"/>
        <w:keepNext w:val="1"/>
        <w:widowControl w:val="1"/>
      </w:pPr>
      <w:r>
        <w:t>[ ] Claramente no</w:t>
      </w:r>
    </w:p>
    <w:p>
      <w:pPr>
        <w:pStyle w:val="ListBullet"/>
        <w:keepLines w:val="1"/>
        <w:widowControl w:val="1"/>
      </w:pPr>
      <w:r>
        <w:t>[ ] No se ha analizado</w:t>
      </w:r>
    </w:p>
    <w:p>
      <w:r>
        <w:rPr>
          <w:b/>
        </w:rPr>
        <w:t>P29. ¿Existen programas de formación específicos sobre CRA dirigidos a los equipos relevantes (producto, desarrollo, seguridad, legal, ventas, etc.)?</w:t>
      </w:r>
    </w:p>
    <w:p>
      <w:pPr>
        <w:pStyle w:val="ListBullet"/>
        <w:keepLines w:val="1"/>
        <w:keepNext w:val="1"/>
        <w:widowControl w:val="1"/>
      </w:pPr>
      <w:r>
        <w:t>[ ] Sí, programas estructurados y recurrentes</w:t>
      </w:r>
    </w:p>
    <w:p>
      <w:pPr>
        <w:pStyle w:val="ListBullet"/>
        <w:keepLines w:val="1"/>
        <w:keepNext w:val="1"/>
        <w:widowControl w:val="1"/>
      </w:pPr>
      <w:r>
        <w:t>[ ] Sí, formación puntual (por ejemplo, talleres o sesiones únicas)</w:t>
      </w:r>
    </w:p>
    <w:p>
      <w:pPr>
        <w:pStyle w:val="ListBullet"/>
        <w:keepLines w:val="1"/>
        <w:keepNext w:val="1"/>
        <w:widowControl w:val="1"/>
      </w:pPr>
      <w:r>
        <w:t>[ ] Previsto, pero aún no implementado</w:t>
      </w:r>
    </w:p>
    <w:p>
      <w:pPr>
        <w:pStyle w:val="ListBullet"/>
        <w:keepLines w:val="1"/>
        <w:widowControl w:val="1"/>
      </w:pPr>
      <w:r>
        <w:t>[ ] No, y no está previsto</w:t>
      </w:r>
    </w:p>
    <w:p>
      <w:pPr>
        <w:pStyle w:val="Heading3"/>
        <w:keepNext/>
        <w:keepLines/>
      </w:pPr>
      <w:r>
        <w:t>8.2 Cultura y apetito de riesgo</w:t>
      </w:r>
    </w:p>
    <w:p>
      <w:r>
        <w:rPr>
          <w:b/>
        </w:rPr>
        <w:t>P30. ¿Cómo describiría la actitud de la alta dirección respecto al CRA?</w:t>
      </w:r>
    </w:p>
    <w:p>
      <w:pPr>
        <w:pStyle w:val="ListBullet"/>
        <w:keepLines w:val="1"/>
        <w:keepNext w:val="1"/>
        <w:widowControl w:val="1"/>
      </w:pPr>
      <w:r>
        <w:t>[ ] Lo perciben como una prioridad estratégica y de competitividad</w:t>
      </w:r>
    </w:p>
    <w:p>
      <w:pPr>
        <w:pStyle w:val="ListBullet"/>
        <w:keepLines w:val="1"/>
        <w:keepNext w:val="1"/>
        <w:widowControl w:val="1"/>
      </w:pPr>
      <w:r>
        <w:t>[ ] Lo perciben como un riesgo regulatorio importante que hay que gestionar</w:t>
      </w:r>
    </w:p>
    <w:p>
      <w:pPr>
        <w:pStyle w:val="ListBullet"/>
        <w:keepLines w:val="1"/>
        <w:keepNext w:val="1"/>
        <w:widowControl w:val="1"/>
      </w:pPr>
      <w:r>
        <w:t>[ ] Lo ven como un coste inevitable, pero sin valor añadido evidente</w:t>
      </w:r>
    </w:p>
    <w:p>
      <w:pPr>
        <w:pStyle w:val="ListBullet"/>
        <w:keepLines w:val="1"/>
        <w:keepNext w:val="1"/>
        <w:widowControl w:val="1"/>
      </w:pPr>
      <w:r>
        <w:t>[ ] Lo consideran un tema secundario o “de técnicos”</w:t>
      </w:r>
    </w:p>
    <w:p>
      <w:pPr>
        <w:pStyle w:val="ListBullet"/>
        <w:keepLines w:val="1"/>
        <w:widowControl w:val="1"/>
      </w:pPr>
      <w:r>
        <w:t>[ ] No hay una opinión clara o articulada</w:t>
      </w:r>
    </w:p>
    <w:p>
      <w:pPr>
        <w:pStyle w:val="Heading2"/>
        <w:keepNext/>
        <w:keepLines/>
      </w:pPr>
      <w:r>
        <w:rPr>
          <w:color w:val="0066CC"/>
        </w:rPr>
        <w:t>9. Impacto económico, IGM y ROI</w:t>
      </w:r>
    </w:p>
    <w:p>
      <w:r>
        <w:rPr>
          <w:i/>
        </w:rPr>
        <w:t>(Las respuestas de esta sección alimentarán el cálculo del Índice Global de Madurez (IGM) y estimaciones de retorno de la inversión (ROI) en CRA.)</w:t>
      </w:r>
    </w:p>
    <w:p>
      <w:r>
        <w:rPr>
          <w:b/>
        </w:rPr>
        <w:t>P31. Aproximadamente, ¿qué porcentaje del presupuesto anual TIC / I+D se destina a ciberseguridad y cumplimiento (incluyendo CRA, NIS2, etc.)?</w:t>
      </w:r>
    </w:p>
    <w:p>
      <w:pPr>
        <w:pStyle w:val="ListBullet"/>
        <w:keepLines w:val="1"/>
        <w:keepNext w:val="1"/>
        <w:widowControl w:val="1"/>
      </w:pPr>
      <w:r>
        <w:t>[ ] &lt; 3 %</w:t>
      </w:r>
    </w:p>
    <w:p>
      <w:pPr>
        <w:pStyle w:val="ListBullet"/>
        <w:keepLines w:val="1"/>
        <w:keepNext w:val="1"/>
        <w:widowControl w:val="1"/>
      </w:pPr>
      <w:r>
        <w:t>[ ] 3–5 %</w:t>
      </w:r>
    </w:p>
    <w:p>
      <w:pPr>
        <w:pStyle w:val="ListBullet"/>
        <w:keepLines w:val="1"/>
        <w:keepNext w:val="1"/>
        <w:widowControl w:val="1"/>
      </w:pPr>
      <w:r>
        <w:t>[ ] 6–10 %</w:t>
      </w:r>
    </w:p>
    <w:p>
      <w:pPr>
        <w:pStyle w:val="ListBullet"/>
        <w:keepLines w:val="1"/>
        <w:keepNext w:val="1"/>
        <w:widowControl w:val="1"/>
      </w:pPr>
      <w:r>
        <w:t>[ ] 11–15 %</w:t>
      </w:r>
    </w:p>
    <w:p>
      <w:pPr>
        <w:pStyle w:val="ListBullet"/>
        <w:keepLines w:val="1"/>
        <w:keepNext w:val="1"/>
        <w:widowControl w:val="1"/>
      </w:pPr>
      <w:r>
        <w:t>[ ] &gt; 15 %</w:t>
      </w:r>
    </w:p>
    <w:p>
      <w:pPr>
        <w:pStyle w:val="ListBullet"/>
        <w:keepLines w:val="1"/>
        <w:widowControl w:val="1"/>
      </w:pPr>
      <w:r>
        <w:t>[ ] No se dispone de dato</w:t>
      </w:r>
    </w:p>
    <w:p>
      <w:r>
        <w:rPr>
          <w:b/>
        </w:rPr>
        <w:t>P32. De ese presupuesto de ciberseguridad y cumplimiento, ¿qué proporción estima que está directa o indirectamente relacionada con requisitos CRA (desarrollo seguro, refactorización de productos, SBOM, certificaciones, etc.)?</w:t>
      </w:r>
    </w:p>
    <w:p>
      <w:pPr>
        <w:pStyle w:val="ListBullet"/>
        <w:keepLines w:val="1"/>
        <w:keepNext w:val="1"/>
        <w:widowControl w:val="1"/>
      </w:pPr>
      <w:r>
        <w:t>[ ] &lt; 10 %</w:t>
      </w:r>
    </w:p>
    <w:p>
      <w:pPr>
        <w:pStyle w:val="ListBullet"/>
        <w:keepLines w:val="1"/>
        <w:keepNext w:val="1"/>
        <w:widowControl w:val="1"/>
      </w:pPr>
      <w:r>
        <w:t>[ ] 10–25 %</w:t>
      </w:r>
    </w:p>
    <w:p>
      <w:pPr>
        <w:pStyle w:val="ListBullet"/>
        <w:keepLines w:val="1"/>
        <w:keepNext w:val="1"/>
        <w:widowControl w:val="1"/>
      </w:pPr>
      <w:r>
        <w:t>[ ] 26–50 %</w:t>
      </w:r>
    </w:p>
    <w:p>
      <w:pPr>
        <w:pStyle w:val="ListBullet"/>
        <w:keepLines w:val="1"/>
        <w:keepNext w:val="1"/>
        <w:widowControl w:val="1"/>
      </w:pPr>
      <w:r>
        <w:t>[ ] &gt; 50 %</w:t>
      </w:r>
    </w:p>
    <w:p>
      <w:pPr>
        <w:pStyle w:val="ListBullet"/>
        <w:keepLines w:val="1"/>
        <w:widowControl w:val="1"/>
      </w:pPr>
      <w:r>
        <w:t>[ ] Imposible de estimar con los datos actuales</w:t>
      </w:r>
    </w:p>
    <w:p>
      <w:r>
        <w:rPr>
          <w:b/>
        </w:rPr>
        <w:t>P33. En los últimos 12 meses, ¿ha sufrido su organización incidentes significativos ligados a vulnerabilidades en productos digitales que, de haber estado plenamente alineados con CRA, podrían haberse evitado o mitigado?</w:t>
      </w:r>
    </w:p>
    <w:p>
      <w:pPr>
        <w:pStyle w:val="ListBullet"/>
        <w:keepLines w:val="1"/>
        <w:keepNext w:val="1"/>
        <w:widowControl w:val="1"/>
      </w:pPr>
      <w:r>
        <w:t>[ ] Sí, varios</w:t>
      </w:r>
    </w:p>
    <w:p>
      <w:pPr>
        <w:pStyle w:val="ListBullet"/>
        <w:keepLines w:val="1"/>
        <w:keepNext w:val="1"/>
        <w:widowControl w:val="1"/>
      </w:pPr>
      <w:r>
        <w:t>[ ] Sí, uno o dos</w:t>
      </w:r>
    </w:p>
    <w:p>
      <w:pPr>
        <w:pStyle w:val="ListBullet"/>
        <w:keepLines w:val="1"/>
        <w:keepNext w:val="1"/>
        <w:widowControl w:val="1"/>
      </w:pPr>
      <w:r>
        <w:t>[ ] No</w:t>
      </w:r>
    </w:p>
    <w:p>
      <w:pPr>
        <w:pStyle w:val="ListBullet"/>
        <w:keepLines w:val="1"/>
        <w:widowControl w:val="1"/>
      </w:pPr>
      <w:r>
        <w:t>[ ] No lo sabemos con certeza</w:t>
      </w:r>
    </w:p>
    <w:p>
      <w:r>
        <w:rPr>
          <w:b/>
        </w:rPr>
        <w:t>P34. Si ha respondido “Sí” en la anterior, estime la magnitud económica agregada (orden de magnitud):</w:t>
      </w:r>
    </w:p>
    <w:p>
      <w:pPr>
        <w:pStyle w:val="ListBullet"/>
        <w:keepLines w:val="1"/>
        <w:keepNext w:val="1"/>
        <w:widowControl w:val="1"/>
      </w:pPr>
      <w:r>
        <w:t>[ ] &lt; 50.000 €</w:t>
      </w:r>
    </w:p>
    <w:p>
      <w:pPr>
        <w:pStyle w:val="ListBullet"/>
        <w:keepLines w:val="1"/>
        <w:keepNext w:val="1"/>
        <w:widowControl w:val="1"/>
      </w:pPr>
      <w:r>
        <w:t>[ ] 50.000–250.000 €</w:t>
      </w:r>
    </w:p>
    <w:p>
      <w:pPr>
        <w:pStyle w:val="ListBullet"/>
        <w:keepLines w:val="1"/>
        <w:keepNext w:val="1"/>
        <w:widowControl w:val="1"/>
      </w:pPr>
      <w:r>
        <w:t>[ ] 250.000–1.000.000 €</w:t>
      </w:r>
    </w:p>
    <w:p>
      <w:pPr>
        <w:pStyle w:val="ListBullet"/>
        <w:keepLines w:val="1"/>
        <w:keepNext w:val="1"/>
        <w:widowControl w:val="1"/>
      </w:pPr>
      <w:r>
        <w:t>[ ] &gt; 1.000.000 €</w:t>
      </w:r>
    </w:p>
    <w:p>
      <w:pPr>
        <w:pStyle w:val="ListBullet"/>
        <w:keepLines w:val="1"/>
        <w:widowControl w:val="1"/>
      </w:pPr>
      <w:r>
        <w:t>[ ] Prefiero no indicarlo / no lo sabemos</w:t>
      </w:r>
    </w:p>
    <w:p>
      <w:pPr>
        <w:pStyle w:val="Heading2"/>
        <w:keepNext/>
        <w:keepLines/>
      </w:pPr>
      <w:r>
        <w:rPr>
          <w:color w:val="0066CC"/>
        </w:rPr>
        <w:t>10. Perspectivas, retos y apoyo necesario</w:t>
      </w:r>
    </w:p>
    <w:p>
      <w:pPr>
        <w:pStyle w:val="Heading3"/>
        <w:keepNext/>
        <w:keepLines/>
      </w:pPr>
      <w:r>
        <w:t>10.1 Principales retos</w:t>
      </w:r>
    </w:p>
    <w:p>
      <w:r>
        <w:rPr>
          <w:b/>
        </w:rPr>
        <w:t>P35. ¿Cuáles son los principales retos percibidos para cumplir con el CRA? (marque hasta tres)</w:t>
      </w:r>
    </w:p>
    <w:p>
      <w:pPr>
        <w:pStyle w:val="ListBullet"/>
        <w:keepLines w:val="1"/>
        <w:keepNext w:val="1"/>
        <w:widowControl w:val="1"/>
      </w:pPr>
      <w:r>
        <w:t>[ ] Falta de claridad regulatoria / interpretativa</w:t>
      </w:r>
    </w:p>
    <w:p>
      <w:pPr>
        <w:pStyle w:val="ListBullet"/>
        <w:keepLines w:val="1"/>
        <w:keepNext w:val="1"/>
        <w:widowControl w:val="1"/>
      </w:pPr>
      <w:r>
        <w:t>[ ] Complejidad técnica (productos heredados, OT, etc.)</w:t>
      </w:r>
    </w:p>
    <w:p>
      <w:pPr>
        <w:pStyle w:val="ListBullet"/>
        <w:keepLines w:val="1"/>
        <w:keepNext w:val="1"/>
        <w:widowControl w:val="1"/>
      </w:pPr>
      <w:r>
        <w:t>[ ] Coste económico de adaptación</w:t>
      </w:r>
    </w:p>
    <w:p>
      <w:pPr>
        <w:pStyle w:val="ListBullet"/>
        <w:keepLines w:val="1"/>
        <w:keepNext w:val="1"/>
        <w:widowControl w:val="1"/>
      </w:pPr>
      <w:r>
        <w:t>[ ] Escasez de talento especializado</w:t>
      </w:r>
    </w:p>
    <w:p>
      <w:pPr>
        <w:pStyle w:val="ListBullet"/>
        <w:keepLines w:val="1"/>
        <w:keepNext w:val="1"/>
        <w:widowControl w:val="1"/>
      </w:pPr>
      <w:r>
        <w:t>[ ] Dependencia de proveedores y cadena de suministro</w:t>
      </w:r>
    </w:p>
    <w:p>
      <w:pPr>
        <w:pStyle w:val="ListBullet"/>
        <w:keepLines w:val="1"/>
        <w:keepNext w:val="1"/>
        <w:widowControl w:val="1"/>
      </w:pPr>
      <w:r>
        <w:t>[ ] Integración con otros marcos (NIS2, ISO, etc.)</w:t>
      </w:r>
    </w:p>
    <w:p>
      <w:pPr>
        <w:pStyle w:val="ListBullet"/>
        <w:keepLines w:val="1"/>
        <w:keepNext w:val="1"/>
        <w:widowControl w:val="1"/>
      </w:pPr>
      <w:r>
        <w:t>[ ] Falta de prioridad interna</w:t>
      </w:r>
    </w:p>
    <w:p>
      <w:pPr>
        <w:pStyle w:val="ListBullet"/>
        <w:keepLines w:val="1"/>
        <w:widowControl w:val="1"/>
      </w:pPr>
      <w:r>
        <w:t>[ ] Otros (especificar): _______</w:t>
      </w:r>
    </w:p>
    <w:p>
      <w:pPr>
        <w:pStyle w:val="Heading3"/>
        <w:keepNext/>
        <w:keepLines/>
      </w:pPr>
      <w:r>
        <w:t>10.2 Apoyos y expectativas</w:t>
      </w:r>
    </w:p>
    <w:p>
      <w:r>
        <w:rPr>
          <w:b/>
        </w:rPr>
        <w:t>P36. ¿Qué tipo de apoyo externo valoraría más para avanzar en la preparación CRA?</w:t>
      </w:r>
    </w:p>
    <w:p>
      <w:pPr>
        <w:pStyle w:val="ListBullet"/>
        <w:keepLines w:val="1"/>
        <w:keepNext w:val="1"/>
        <w:widowControl w:val="1"/>
      </w:pPr>
      <w:r>
        <w:t>[ ] Guías técnicas sectoriales y ejemplos prácticos</w:t>
      </w:r>
    </w:p>
    <w:p>
      <w:pPr>
        <w:pStyle w:val="ListBullet"/>
        <w:keepLines w:val="1"/>
        <w:keepNext w:val="1"/>
        <w:widowControl w:val="1"/>
      </w:pPr>
      <w:r>
        <w:t>[ ] Herramientas de autodiagnóstico y plantillas de documentación</w:t>
      </w:r>
    </w:p>
    <w:p>
      <w:pPr>
        <w:pStyle w:val="ListBullet"/>
        <w:keepLines w:val="1"/>
        <w:keepNext w:val="1"/>
        <w:widowControl w:val="1"/>
      </w:pPr>
      <w:r>
        <w:t>[ ] Programas de formación específicos</w:t>
      </w:r>
    </w:p>
    <w:p>
      <w:pPr>
        <w:pStyle w:val="ListBullet"/>
        <w:keepLines w:val="1"/>
        <w:keepNext w:val="1"/>
        <w:widowControl w:val="1"/>
      </w:pPr>
      <w:r>
        <w:t>[ ] Incentivos económicos o fiscales</w:t>
      </w:r>
    </w:p>
    <w:p>
      <w:pPr>
        <w:pStyle w:val="ListBullet"/>
        <w:keepLines w:val="1"/>
        <w:keepNext w:val="1"/>
        <w:widowControl w:val="1"/>
      </w:pPr>
      <w:r>
        <w:t>[ ] Espacios de coordinación sectorial (foros, grupos de trabajo)</w:t>
      </w:r>
    </w:p>
    <w:p>
      <w:pPr>
        <w:pStyle w:val="ListBullet"/>
        <w:keepLines w:val="1"/>
        <w:widowControl w:val="1"/>
      </w:pPr>
      <w:r>
        <w:t>[ ] Otros: ______</w:t>
      </w:r>
    </w:p>
    <w:p>
      <w:pPr>
        <w:pStyle w:val="Heading2"/>
        <w:keepNext/>
        <w:keepLines/>
      </w:pPr>
      <w:r>
        <w:rPr>
          <w:color w:val="0066CC"/>
        </w:rPr>
        <w:t>11. Comentarios finales</w:t>
      </w:r>
    </w:p>
    <w:p>
      <w:r>
        <w:rPr>
          <w:b/>
        </w:rPr>
        <w:t>P37. Si quiere compartir alguna reflexión adicional sobre el CRA, su grado de realismo, su potencial transformador o sus efectos colaterales —incluida la salud mental de sus equipos—, este es el lugar:</w:t>
      </w:r>
    </w:p>
    <w:p>
      <w:r>
        <w:rPr>
          <w:i/>
        </w:rPr>
        <w:t>Fin del cuestionario.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