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 + PRAGMATIC para indicadores CRA</w:t>
      </w:r>
    </w:p>
    <w:p>
      <w:r>
        <w:t>Versión: 1.0</w:t>
      </w:r>
      <w:r/>
      <w:r>
        <w:br/>
        <w:t>Ámbito: indicadores nacionales/territoriales de preparación CRA (Cyber Resilience Act)</w:t>
      </w:r>
    </w:p>
    <w:p>
      <w:pPr>
        <w:pStyle w:val="Heading2"/>
        <w:keepNext/>
        <w:keepLines/>
      </w:pPr>
      <w:r>
        <w:rPr>
          <w:color w:val="0066CC"/>
        </w:rPr>
        <w:t>1. Propósito del marco</w:t>
      </w:r>
    </w:p>
    <w:p>
      <w:r>
        <w:t xml:space="preserve">Este documento articula un </w:t>
      </w:r>
      <w:r>
        <w:rPr>
          <w:b/>
        </w:rPr>
        <w:t>marco integrativo</w:t>
      </w:r>
      <w:r>
        <w:t xml:space="preserve"> que conecta:</w:t>
      </w:r>
    </w:p>
    <w:p>
      <w:pPr>
        <w:pStyle w:val="ListBullet"/>
        <w:keepLines w:val="1"/>
        <w:keepNext w:val="1"/>
        <w:widowControl w:val="1"/>
      </w:pPr>
      <w:r>
        <w:t xml:space="preserve">Objetivos estratégicos nacionales vinculados al CRA.  </w:t>
      </w:r>
    </w:p>
    <w:p>
      <w:pPr>
        <w:pStyle w:val="ListBullet"/>
        <w:keepLines w:val="1"/>
        <w:keepNext w:val="1"/>
        <w:widowControl w:val="1"/>
      </w:pPr>
      <w:r>
        <w:t xml:space="preserve">Preguntas de evaluación (nivel país, sector y organización).  </w:t>
      </w:r>
    </w:p>
    <w:p>
      <w:pPr>
        <w:pStyle w:val="ListBullet"/>
        <w:keepLines w:val="1"/>
        <w:widowControl w:val="1"/>
      </w:pPr>
      <w:r>
        <w:t xml:space="preserve">Métricas técnicas, operativas y económicas.  </w:t>
      </w:r>
    </w:p>
    <w:p>
      <w:r>
        <w:t>La espina dorsal es GQM (Goal–Question–Metric), condimentada con el aderezo PRAGMATIC (Predictivo, Relevante, Accionable, Genuino, Significativo, Preciso, Oportuno, Independiente, Rentable), aplicado a cada métrica para asegurarnos de que no coleccionamos números por deporte.</w:t>
      </w:r>
    </w:p>
    <w:p>
      <w:pPr>
        <w:pStyle w:val="Heading2"/>
        <w:keepNext/>
        <w:keepLines/>
      </w:pPr>
      <w:r>
        <w:rPr>
          <w:color w:val="0066CC"/>
        </w:rPr>
        <w:t>2. Recordatorio del enfoque GQM</w:t>
      </w:r>
    </w:p>
    <w:p>
      <w:pPr>
        <w:pStyle w:val="ListBullet"/>
        <w:keepLines w:val="1"/>
        <w:keepNext w:val="1"/>
        <w:widowControl w:val="1"/>
      </w:pPr>
      <w:r>
        <w:t xml:space="preserve">Goal (Objetivo): qué queremos lograr o comprender, en términos alineados con el CRA y las estrategias nacionales de ciberseguridad.  </w:t>
      </w:r>
    </w:p>
    <w:p>
      <w:pPr>
        <w:pStyle w:val="ListBullet"/>
        <w:keepLines w:val="1"/>
        <w:keepNext w:val="1"/>
        <w:widowControl w:val="1"/>
      </w:pPr>
      <w:r>
        <w:t xml:space="preserve">Question (Pregunta): cuestiones específicas cuya respuesta nos indica si el objetivo se está alcanzando.  </w:t>
      </w:r>
    </w:p>
    <w:p>
      <w:pPr>
        <w:pStyle w:val="ListBullet"/>
        <w:keepLines w:val="1"/>
        <w:widowControl w:val="1"/>
      </w:pPr>
      <w:r>
        <w:t>Metric (Métrica): datos cuantitativos o semicuantitativos que permiten responder a las preguntas.</w:t>
      </w:r>
    </w:p>
    <w:p>
      <w:r>
        <w:t>En este marco, cada indicador CRA propuesto se expresa como un “M” al final de una cadena G–Q–M explícita.</w:t>
      </w:r>
    </w:p>
    <w:p>
      <w:pPr>
        <w:pStyle w:val="Heading2"/>
        <w:keepNext/>
        <w:keepLines/>
      </w:pPr>
      <w:r>
        <w:rPr>
          <w:color w:val="0066CC"/>
        </w:rPr>
        <w:t>3. Recordatorio del enfoque PRAGMATIC</w:t>
      </w:r>
    </w:p>
    <w:p>
      <w:r>
        <w:t>Cada métrica se valora con los nueve criterios PRAGMATIC:</w:t>
      </w:r>
    </w:p>
    <w:p>
      <w:pPr>
        <w:pStyle w:val="ListNumber"/>
        <w:keepLines w:val="1"/>
        <w:keepNext w:val="1"/>
        <w:widowControl w:val="1"/>
      </w:pPr>
      <w:r>
        <w:t xml:space="preserve">Predictivo: ¿ayuda a anticipar resultados futuros relevantes?  </w:t>
      </w:r>
    </w:p>
    <w:p>
      <w:pPr>
        <w:pStyle w:val="ListNumber"/>
        <w:keepLines w:val="1"/>
        <w:keepNext w:val="1"/>
        <w:widowControl w:val="1"/>
      </w:pPr>
      <w:r>
        <w:t xml:space="preserve">Relevante: ¿está claramente vinculada a objetivos CRA/nacionales?  </w:t>
      </w:r>
    </w:p>
    <w:p>
      <w:pPr>
        <w:pStyle w:val="ListNumber"/>
        <w:keepLines w:val="1"/>
        <w:keepNext w:val="1"/>
        <w:widowControl w:val="1"/>
      </w:pPr>
      <w:r>
        <w:t xml:space="preserve">Accionable: ¿puede activar decisiones concretas?  </w:t>
      </w:r>
    </w:p>
    <w:p>
      <w:pPr>
        <w:pStyle w:val="ListNumber"/>
        <w:keepLines w:val="1"/>
        <w:keepNext w:val="1"/>
        <w:widowControl w:val="1"/>
      </w:pPr>
      <w:r>
        <w:t xml:space="preserve">Genuino: ¿mide lo que dice medir (validez)?  </w:t>
      </w:r>
    </w:p>
    <w:p>
      <w:pPr>
        <w:pStyle w:val="ListNumber"/>
        <w:keepLines w:val="1"/>
        <w:keepNext w:val="1"/>
        <w:widowControl w:val="1"/>
      </w:pPr>
      <w:r>
        <w:t xml:space="preserve">Significativo: ¿tiene peso suficiente como para importar?  </w:t>
      </w:r>
    </w:p>
    <w:p>
      <w:pPr>
        <w:pStyle w:val="ListNumber"/>
        <w:keepLines w:val="1"/>
        <w:keepNext w:val="1"/>
        <w:widowControl w:val="1"/>
      </w:pPr>
      <w:r>
        <w:t xml:space="preserve">Preciso: ¿puede medirse con exactitud adecuada?  </w:t>
      </w:r>
    </w:p>
    <w:p>
      <w:pPr>
        <w:pStyle w:val="ListNumber"/>
        <w:keepLines w:val="1"/>
        <w:keepNext w:val="1"/>
        <w:widowControl w:val="1"/>
      </w:pPr>
      <w:r>
        <w:t xml:space="preserve">Oportuno: ¿puede obtenerse con la frecuencia necesaria?  </w:t>
      </w:r>
    </w:p>
    <w:p>
      <w:pPr>
        <w:pStyle w:val="ListNumber"/>
        <w:keepLines w:val="1"/>
        <w:keepNext w:val="1"/>
        <w:widowControl w:val="1"/>
      </w:pPr>
      <w:r>
        <w:t xml:space="preserve">Independiente: ¿evita sesgos excesivos de percepción/intereses?  </w:t>
      </w:r>
    </w:p>
    <w:p>
      <w:pPr>
        <w:pStyle w:val="ListNumber"/>
        <w:keepLines w:val="1"/>
        <w:widowControl w:val="1"/>
      </w:pPr>
      <w:r>
        <w:t>Rentable: ¿su coste de obtención es razonable frente a su valor?</w:t>
      </w:r>
    </w:p>
    <w:p>
      <w:r>
        <w:t>Calificamos cada métrica en una escala 1–5 (baja–alta), con una breve justificación narrativa.</w:t>
      </w:r>
    </w:p>
    <w:p>
      <w:pPr>
        <w:pStyle w:val="Heading2"/>
        <w:keepNext/>
        <w:keepLines/>
      </w:pPr>
      <w:r>
        <w:rPr>
          <w:color w:val="0066CC"/>
        </w:rPr>
        <w:t>4. Objetivos GQM top–down para CRA (nivel país)</w:t>
      </w:r>
    </w:p>
    <w:p>
      <w:r>
        <w:t>Se adoptan cinco grandes objetivos (G1–G5) que agrupan los indicadores del informe CRA:</w:t>
      </w:r>
    </w:p>
    <w:p>
      <w:pPr>
        <w:pStyle w:val="ListBullet"/>
        <w:keepLines w:val="1"/>
        <w:keepNext w:val="1"/>
        <w:widowControl w:val="1"/>
      </w:pPr>
      <w:r>
        <w:br/>
        <w:t>G1 – Gobernanza y marco institucional:</w:t>
        <w:br/>
        <w:t xml:space="preserve">  Asegurar que el país dispone de estructuras de gobernanza, coordinación y supervisión adecuadas para implementar el CRA de forma eficaz.</w:t>
        <w:br/>
      </w:r>
    </w:p>
    <w:p>
      <w:pPr>
        <w:pStyle w:val="ListBullet"/>
        <w:keepLines w:val="1"/>
        <w:keepNext w:val="1"/>
        <w:widowControl w:val="1"/>
      </w:pPr>
      <w:r>
        <w:br/>
        <w:t>G2 – Cobertura y conformidad de productos:</w:t>
        <w:br/>
        <w:t xml:space="preserve">  Aumentar la proporción de productos con elementos digitales en el mercado nacional que cumplen los requisitos CRA o estándares equivalentes.</w:t>
        <w:br/>
      </w:r>
    </w:p>
    <w:p>
      <w:pPr>
        <w:pStyle w:val="ListBullet"/>
        <w:keepLines w:val="1"/>
        <w:keepNext w:val="1"/>
        <w:widowControl w:val="1"/>
      </w:pPr>
      <w:r>
        <w:br/>
        <w:t>G3 – Gestión de vulnerabilidades e incidentes:</w:t>
        <w:br/>
        <w:t xml:space="preserve">  Reducir la exposición del país a vulnerabilidades explotadas e incidentes graves derivados de productos digitales, mejorando tiempos de detección y respuesta.</w:t>
        <w:br/>
      </w:r>
    </w:p>
    <w:p>
      <w:pPr>
        <w:pStyle w:val="ListBullet"/>
        <w:keepLines w:val="1"/>
        <w:keepNext w:val="1"/>
        <w:widowControl w:val="1"/>
      </w:pPr>
      <w:r>
        <w:br/>
        <w:t>G4 – Resiliencia económica y de mercado:</w:t>
        <w:br/>
        <w:t xml:space="preserve">  Minimizar el impacto económico de incidentes relacionados con productos digitales y mejorar la sostenibilidad financiera de la ciberresiliencia.</w:t>
        <w:br/>
      </w:r>
    </w:p>
    <w:p>
      <w:pPr>
        <w:pStyle w:val="ListBullet"/>
        <w:keepLines w:val="1"/>
        <w:widowControl w:val="1"/>
      </w:pPr>
      <w:r>
        <w:br/>
        <w:t>G5 – Capacidades, cultura y métricas:</w:t>
        <w:br/>
        <w:t xml:space="preserve">  Desarrollar capacidades técnicas, humanas y de medición que permitan una mejora continua y basada en datos.</w:t>
        <w:br/>
      </w:r>
    </w:p>
    <w:p>
      <w:r>
        <w:rPr>
          <w:b/>
        </w:rPr>
        <w:t>G1 – Gobernanza y marco institucional:</w:t>
      </w:r>
      <w:r/>
      <w:r>
        <w:br/>
        <w:t xml:space="preserve">  Asegurar que el país dispone de estructuras de gobernanza, coordinación y supervisión adecuadas para implementar el CRA de forma eficaz.</w:t>
      </w:r>
    </w:p>
    <w:p>
      <w:r>
        <w:rPr>
          <w:b/>
        </w:rPr>
        <w:t>G2 – Cobertura y conformidad de productos:</w:t>
      </w:r>
      <w:r/>
      <w:r>
        <w:br/>
        <w:t xml:space="preserve">  Aumentar la proporción de productos con elementos digitales en el mercado nacional que cumplen los requisitos CRA o estándares equivalentes.</w:t>
      </w:r>
    </w:p>
    <w:p>
      <w:r>
        <w:rPr>
          <w:b/>
        </w:rPr>
        <w:t>G3 – Gestión de vulnerabilidades e incidentes:</w:t>
      </w:r>
      <w:r/>
      <w:r>
        <w:br/>
        <w:t xml:space="preserve">  Reducir la exposición del país a vulnerabilidades explotadas e incidentes graves derivados de productos digitales, mejorando tiempos de detección y respuesta.</w:t>
      </w:r>
    </w:p>
    <w:p>
      <w:r>
        <w:rPr>
          <w:b/>
        </w:rPr>
        <w:t>G4 – Resiliencia económica y de mercado:</w:t>
      </w:r>
      <w:r/>
      <w:r>
        <w:br/>
        <w:t xml:space="preserve">  Minimizar el impacto económico de incidentes relacionados con productos digitales y mejorar la sostenibilidad financiera de la ciberresiliencia.</w:t>
      </w:r>
    </w:p>
    <w:p>
      <w:r>
        <w:rPr>
          <w:b/>
        </w:rPr>
        <w:t>G5 – Capacidades, cultura y métricas:</w:t>
      </w:r>
      <w:r/>
      <w:r>
        <w:br/>
        <w:t xml:space="preserve">  Desarrollar capacidades técnicas, humanas y de medición que permitan una mejora continua y basada en datos.</w:t>
      </w:r>
    </w:p>
    <w:p>
      <w:r>
        <w:t>Cada indicador del informe CRA se encaja en alguno de estos objetivos (a veces en varios, pero se asigna un “hogar” principal para evitar esquizofrenias metodológicas).</w:t>
      </w:r>
    </w:p>
    <w:p>
      <w:pPr>
        <w:pStyle w:val="Heading2"/>
        <w:keepNext/>
        <w:keepLines/>
      </w:pPr>
      <w:r>
        <w:rPr>
          <w:color w:val="0066CC"/>
        </w:rPr>
        <w:t>5. GQM aplicado a los indicadores CRA</w:t>
      </w:r>
    </w:p>
    <w:p>
      <w:r>
        <w:t>A continuación se presentan los GQM por familia de indicadores (resumen conceptual; la matriz PRAGMATIC se detalla en un archivo separado).</w:t>
      </w:r>
    </w:p>
    <w:p>
      <w:pPr>
        <w:pStyle w:val="Heading3"/>
        <w:keepNext/>
        <w:keepLines/>
      </w:pPr>
      <w:r>
        <w:t>5.1 G2 – Cobertura y conformidad de productos</w:t>
      </w:r>
    </w:p>
    <w:p>
      <w:r>
        <w:rPr>
          <w:b/>
        </w:rPr>
        <w:t>Indicador 1 – Proporción de productos con elementos digitales en el mercado nacional que declaran cumplimiento CRA (por número de modelos y cuota de mercado).</w:t>
      </w:r>
    </w:p>
    <w:p>
      <w:pPr>
        <w:pStyle w:val="ListBullet"/>
        <w:keepLines w:val="1"/>
        <w:keepNext w:val="1"/>
        <w:widowControl w:val="1"/>
      </w:pPr>
      <w:r>
        <w:t xml:space="preserve">G: Incrementar la penetración de productos CRA‑conformes en el parque tecnológico nacional.  </w:t>
      </w:r>
    </w:p>
    <w:p>
      <w:pPr>
        <w:pStyle w:val="ListBullet"/>
        <w:keepLines w:val="1"/>
        <w:keepNext w:val="1"/>
        <w:widowControl w:val="1"/>
      </w:pPr>
      <w:r>
        <w:t xml:space="preserve">Q1: ¿Qué porcentaje de productos disponibles en el mercado nacional se declara conforme con CRA?  </w:t>
      </w:r>
    </w:p>
    <w:p>
      <w:pPr>
        <w:pStyle w:val="ListBullet"/>
        <w:keepLines w:val="1"/>
        <w:keepNext w:val="1"/>
        <w:widowControl w:val="1"/>
      </w:pPr>
      <w:r>
        <w:t xml:space="preserve">Q2: ¿Qué porcentaje del parque instalado efectivo (por cuota de mercado) corresponde a productos conformes?  </w:t>
      </w:r>
    </w:p>
    <w:p>
      <w:pPr>
        <w:pStyle w:val="ListBullet"/>
        <w:keepLines w:val="1"/>
        <w:keepNext w:val="1"/>
        <w:widowControl w:val="1"/>
      </w:pPr>
      <w:r>
        <w:t xml:space="preserve">M1.1: Nº de modelos de producto en mercado con declaración CRA / Nº total de modelos de producto relevantes.  </w:t>
      </w:r>
    </w:p>
    <w:p>
      <w:pPr>
        <w:pStyle w:val="ListBullet"/>
        <w:keepLines w:val="1"/>
        <w:widowControl w:val="1"/>
      </w:pPr>
      <w:r>
        <w:t>M1.2: Cuota de mercado (unidades o facturación) de productos declarados CRA / cuota total.</w:t>
      </w:r>
    </w:p>
    <w:p>
      <w:r>
        <w:rPr>
          <w:b/>
        </w:rPr>
        <w:t>Indicador 2 – Nº de fabricantes sujetos a CRA con procesos de gestión de vulnerabilidades certificados o auditados.</w:t>
      </w:r>
    </w:p>
    <w:p>
      <w:pPr>
        <w:pStyle w:val="ListBullet"/>
        <w:keepLines w:val="1"/>
        <w:keepNext w:val="1"/>
        <w:widowControl w:val="1"/>
      </w:pPr>
      <w:r>
        <w:t xml:space="preserve">G: Garantizar que los fabricantes relevantes operan procesos maduros de gestión de vulnerabilidades.  </w:t>
      </w:r>
    </w:p>
    <w:p>
      <w:pPr>
        <w:pStyle w:val="ListBullet"/>
        <w:keepLines w:val="1"/>
        <w:keepNext w:val="1"/>
        <w:widowControl w:val="1"/>
      </w:pPr>
      <w:r>
        <w:t xml:space="preserve">Q1: ¿Cuántos fabricantes con presencia significativa en el país han sometido sus procesos a certificación o auditoría independiente?  </w:t>
      </w:r>
    </w:p>
    <w:p>
      <w:pPr>
        <w:pStyle w:val="ListBullet"/>
        <w:keepLines w:val="1"/>
        <w:keepNext w:val="1"/>
        <w:widowControl w:val="1"/>
      </w:pPr>
      <w:r>
        <w:t xml:space="preserve">Q2: ¿Qué cobertura representa respecto al volumen de productos en el mercado?  </w:t>
      </w:r>
    </w:p>
    <w:p>
      <w:pPr>
        <w:pStyle w:val="ListBullet"/>
        <w:keepLines w:val="1"/>
        <w:keepNext w:val="1"/>
        <w:widowControl w:val="1"/>
      </w:pPr>
      <w:r>
        <w:t xml:space="preserve">M2.1: Nº de fabricantes con procesos certificados/auditados / Nº total de fabricantes identificados.  </w:t>
      </w:r>
    </w:p>
    <w:p>
      <w:pPr>
        <w:pStyle w:val="ListBullet"/>
        <w:keepLines w:val="1"/>
        <w:widowControl w:val="1"/>
      </w:pPr>
      <w:r>
        <w:t>M2.2: Porcentaje de productos en el mercado procedentes de fabricantes con procesos certificados.</w:t>
      </w:r>
    </w:p>
    <w:p>
      <w:r>
        <w:rPr>
          <w:b/>
        </w:rPr>
        <w:t>Indicador 3 – Nº de certificaciones EUCC emitidas para productos relevantes y distribución por nivel de garantía.</w:t>
      </w:r>
    </w:p>
    <w:p>
      <w:pPr>
        <w:pStyle w:val="ListBullet"/>
        <w:keepLines w:val="1"/>
        <w:keepNext w:val="1"/>
        <w:widowControl w:val="1"/>
      </w:pPr>
      <w:r>
        <w:t xml:space="preserve">G: Aumentar el uso de esquemas de certificación armonizados para productos críticos.  </w:t>
      </w:r>
    </w:p>
    <w:p>
      <w:pPr>
        <w:pStyle w:val="ListBullet"/>
        <w:keepLines w:val="1"/>
        <w:keepNext w:val="1"/>
        <w:widowControl w:val="1"/>
      </w:pPr>
      <w:r>
        <w:t xml:space="preserve">Q1: ¿Cuántas certificaciones EUCC (u otros esquemas CRA‑relevantes) se han emitido en el país?  </w:t>
      </w:r>
    </w:p>
    <w:p>
      <w:pPr>
        <w:pStyle w:val="ListBullet"/>
        <w:keepLines w:val="1"/>
        <w:keepNext w:val="1"/>
        <w:widowControl w:val="1"/>
      </w:pPr>
      <w:r>
        <w:t xml:space="preserve">Q2: ¿En qué niveles de garantía se concentran (básico, sustancial, alto)?  </w:t>
      </w:r>
    </w:p>
    <w:p>
      <w:pPr>
        <w:pStyle w:val="ListBullet"/>
        <w:keepLines w:val="1"/>
        <w:keepNext w:val="1"/>
        <w:widowControl w:val="1"/>
      </w:pPr>
      <w:r>
        <w:t xml:space="preserve">M3.1: Nº de certificados EUCC vigentes por nivel de garantía.  </w:t>
      </w:r>
    </w:p>
    <w:p>
      <w:pPr>
        <w:pStyle w:val="ListBullet"/>
        <w:keepLines w:val="1"/>
        <w:widowControl w:val="1"/>
      </w:pPr>
      <w:r>
        <w:t>M3.2: Distribución porcentual por nivel de garantía para sectores clave.</w:t>
      </w:r>
    </w:p>
    <w:p>
      <w:r>
        <w:rPr>
          <w:b/>
        </w:rPr>
        <w:t>Indicador 4 – Porcentaje de entidades críticas que utilizan sólo productos CRA‑conformes o certificados en segmentos sensibles.</w:t>
      </w:r>
    </w:p>
    <w:p>
      <w:pPr>
        <w:pStyle w:val="ListBullet"/>
        <w:keepLines w:val="1"/>
        <w:keepNext w:val="1"/>
        <w:widowControl w:val="1"/>
      </w:pPr>
      <w:r>
        <w:t xml:space="preserve">G: Reducir la exposición de infraestructuras críticas a productos inseguros o no conformes.  </w:t>
      </w:r>
    </w:p>
    <w:p>
      <w:pPr>
        <w:pStyle w:val="ListBullet"/>
        <w:keepLines w:val="1"/>
        <w:keepNext w:val="1"/>
        <w:widowControl w:val="1"/>
      </w:pPr>
      <w:r>
        <w:t xml:space="preserve">Q1: ¿Qué parte del parque tecnológico crítico (OT, redes, 5G, etc.) está cubierto por productos CRA‑conformes o certificados?  </w:t>
      </w:r>
    </w:p>
    <w:p>
      <w:pPr>
        <w:pStyle w:val="ListBullet"/>
        <w:keepLines w:val="1"/>
        <w:widowControl w:val="1"/>
      </w:pPr>
      <w:r>
        <w:t>M4.1: % de activos críticos con productos CRA‑conformes / total de activos críticos en inventario.</w:t>
      </w:r>
    </w:p>
    <w:p>
      <w:pPr>
        <w:pStyle w:val="Heading3"/>
        <w:keepNext/>
        <w:keepLines/>
      </w:pPr>
      <w:r>
        <w:t>5.2 G3 – Gestión de vulnerabilidades e incidentes</w:t>
      </w:r>
    </w:p>
    <w:p>
      <w:r>
        <w:rPr>
          <w:b/>
        </w:rPr>
        <w:t>Indicador 5 – Tiempo medio hasta parche (TTP) para vulnerabilidades críticas en productos sujetos a CRA.</w:t>
      </w:r>
    </w:p>
    <w:p>
      <w:pPr>
        <w:pStyle w:val="ListBullet"/>
        <w:keepLines w:val="1"/>
        <w:keepNext w:val="1"/>
        <w:widowControl w:val="1"/>
      </w:pPr>
      <w:r>
        <w:t xml:space="preserve">G: Minimizar el tiempo de exposición a vulnerabilidades críticas en productos en uso.  </w:t>
      </w:r>
    </w:p>
    <w:p>
      <w:pPr>
        <w:pStyle w:val="ListBullet"/>
        <w:keepLines w:val="1"/>
        <w:keepNext w:val="1"/>
        <w:widowControl w:val="1"/>
      </w:pPr>
      <w:r>
        <w:t xml:space="preserve">Q1: ¿Cuál es el TTP medio para vulnerabilidades críticas en productos CRA en el país?  </w:t>
      </w:r>
    </w:p>
    <w:p>
      <w:pPr>
        <w:pStyle w:val="ListBullet"/>
        <w:keepLines w:val="1"/>
        <w:keepNext w:val="1"/>
        <w:widowControl w:val="1"/>
      </w:pPr>
      <w:r>
        <w:t xml:space="preserve">Q2: ¿Existen diferencias significativas según fabricante, sector o criticidad?  </w:t>
      </w:r>
    </w:p>
    <w:p>
      <w:pPr>
        <w:pStyle w:val="ListBullet"/>
        <w:keepLines w:val="1"/>
        <w:keepNext w:val="1"/>
        <w:widowControl w:val="1"/>
      </w:pPr>
      <w:r>
        <w:t xml:space="preserve">M5.1: Promedio de días entre identificación de vulnerabilidad crítica y disponibilidad de parche, por producto/fabricante.  </w:t>
      </w:r>
    </w:p>
    <w:p>
      <w:pPr>
        <w:pStyle w:val="ListBullet"/>
        <w:keepLines w:val="1"/>
        <w:widowControl w:val="1"/>
      </w:pPr>
      <w:r>
        <w:t>M5.2: Distribución (mediana, percentiles 90) del TTP por segmento.</w:t>
      </w:r>
    </w:p>
    <w:p>
      <w:r>
        <w:rPr>
          <w:b/>
        </w:rPr>
        <w:t>Indicador 6 – Proporción de vulnerabilidades explotadas activamente con más de un año de antigüedad en el parque nacional (“aging vulns”).</w:t>
      </w:r>
    </w:p>
    <w:p>
      <w:pPr>
        <w:pStyle w:val="ListBullet"/>
        <w:keepLines w:val="1"/>
        <w:keepNext w:val="1"/>
        <w:widowControl w:val="1"/>
      </w:pPr>
      <w:r>
        <w:t xml:space="preserve">G: Reducir el stock de vulnerabilidades críticas no resueltas que siguen explotándose.  </w:t>
      </w:r>
    </w:p>
    <w:p>
      <w:pPr>
        <w:pStyle w:val="ListBullet"/>
        <w:keepLines w:val="1"/>
        <w:keepNext w:val="1"/>
        <w:widowControl w:val="1"/>
      </w:pPr>
      <w:r>
        <w:t xml:space="preserve">Q1: ¿Qué porcentaje de vulnerabilidades explotadas activamente tiene más de X días/meses de antigüedad?  </w:t>
      </w:r>
    </w:p>
    <w:p>
      <w:pPr>
        <w:pStyle w:val="ListBullet"/>
        <w:keepLines w:val="1"/>
        <w:keepNext w:val="1"/>
        <w:widowControl w:val="1"/>
      </w:pPr>
      <w:r>
        <w:t xml:space="preserve">M6.1: Nº de vulnerabilidades explotadas &gt; 12 meses / Nº total de vulnerabilidades explotadas en el periodo.  </w:t>
      </w:r>
    </w:p>
    <w:p>
      <w:pPr>
        <w:pStyle w:val="ListBullet"/>
        <w:keepLines w:val="1"/>
        <w:widowControl w:val="1"/>
      </w:pPr>
      <w:r>
        <w:t>M6.2: Media de antigüedad (días) de vulnerabilidades explotadas.</w:t>
      </w:r>
    </w:p>
    <w:p>
      <w:r>
        <w:rPr>
          <w:b/>
        </w:rPr>
        <w:t>Indicador 7 – Porcentaje de instalaciones que aplican parches críticos en un plazo objetivo (por ejemplo, 30 días).</w:t>
      </w:r>
    </w:p>
    <w:p>
      <w:pPr>
        <w:pStyle w:val="ListBullet"/>
        <w:keepLines w:val="1"/>
        <w:keepNext w:val="1"/>
        <w:widowControl w:val="1"/>
      </w:pPr>
      <w:r>
        <w:t xml:space="preserve">G: Aumentar la tasa de adopción oportuna de parches críticos por parte de los usuarios.  </w:t>
      </w:r>
    </w:p>
    <w:p>
      <w:pPr>
        <w:pStyle w:val="ListBullet"/>
        <w:keepLines w:val="1"/>
        <w:keepNext w:val="1"/>
        <w:widowControl w:val="1"/>
      </w:pPr>
      <w:r>
        <w:t xml:space="preserve">Q1: ¿Qué proporción de instalaciones aplica parches críticos dentro del plazo definido?  </w:t>
      </w:r>
    </w:p>
    <w:p>
      <w:pPr>
        <w:pStyle w:val="ListBullet"/>
        <w:keepLines w:val="1"/>
        <w:widowControl w:val="1"/>
      </w:pPr>
      <w:r>
        <w:t>M7.1: Nº de instalaciones parcheadas ≤ 30 días / Nº total de instalaciones afectadas.</w:t>
      </w:r>
    </w:p>
    <w:p>
      <w:r>
        <w:rPr>
          <w:b/>
        </w:rPr>
        <w:t>Indicador 8 – Nº de vulnerabilidades notificadas vía plataforma CRA y distribución por criticidad y tiempo de mitigación.</w:t>
      </w:r>
    </w:p>
    <w:p>
      <w:pPr>
        <w:pStyle w:val="ListBullet"/>
        <w:keepLines w:val="1"/>
        <w:keepNext w:val="1"/>
        <w:widowControl w:val="1"/>
      </w:pPr>
      <w:r>
        <w:t xml:space="preserve">G: Mejorar la transparencia y la gestión coordinada de vulnerabilidades a nivel europeo/nacional.  </w:t>
      </w:r>
    </w:p>
    <w:p>
      <w:pPr>
        <w:pStyle w:val="ListBullet"/>
        <w:keepLines w:val="1"/>
        <w:keepNext w:val="1"/>
        <w:widowControl w:val="1"/>
      </w:pPr>
      <w:r>
        <w:t xml:space="preserve">Q1: ¿Cuántas vulnerabilidades se notifican por periodo y con qué criticidad?  </w:t>
      </w:r>
    </w:p>
    <w:p>
      <w:pPr>
        <w:pStyle w:val="ListBullet"/>
        <w:keepLines w:val="1"/>
        <w:keepNext w:val="1"/>
        <w:widowControl w:val="1"/>
      </w:pPr>
      <w:r>
        <w:t xml:space="preserve">Q2: ¿Cuánto tiempo transcurre hasta su mitigación efectiva?  </w:t>
      </w:r>
    </w:p>
    <w:p>
      <w:pPr>
        <w:pStyle w:val="ListBullet"/>
        <w:keepLines w:val="1"/>
        <w:keepNext w:val="1"/>
        <w:widowControl w:val="1"/>
      </w:pPr>
      <w:r>
        <w:t xml:space="preserve">M8.1: Nº de vulnerabilidades notificadas por criticidad (baja-media-alta-crítica).  </w:t>
      </w:r>
    </w:p>
    <w:p>
      <w:pPr>
        <w:pStyle w:val="ListBullet"/>
        <w:keepLines w:val="1"/>
        <w:widowControl w:val="1"/>
      </w:pPr>
      <w:r>
        <w:t>M8.2: Tiempo medio de mitigación (descubrimiento → parche → despliegue).</w:t>
      </w:r>
    </w:p>
    <w:p>
      <w:r>
        <w:rPr>
          <w:b/>
        </w:rPr>
        <w:t>Indicador 9 – Nº de incidentes significativos asociados a productos CRA por año, sector e impacto.</w:t>
      </w:r>
    </w:p>
    <w:p>
      <w:pPr>
        <w:pStyle w:val="ListBullet"/>
        <w:keepLines w:val="1"/>
        <w:keepNext w:val="1"/>
        <w:widowControl w:val="1"/>
      </w:pPr>
      <w:r>
        <w:t xml:space="preserve">G: Monitorizar y reducir la incidencia de eventos graves ligados a productos digitales.  </w:t>
      </w:r>
    </w:p>
    <w:p>
      <w:pPr>
        <w:pStyle w:val="ListBullet"/>
        <w:keepLines w:val="1"/>
        <w:keepNext w:val="1"/>
        <w:widowControl w:val="1"/>
      </w:pPr>
      <w:r>
        <w:t xml:space="preserve">Q1: ¿Cuántos incidentes significativos se registran y con qué características?  </w:t>
      </w:r>
    </w:p>
    <w:p>
      <w:pPr>
        <w:pStyle w:val="ListBullet"/>
        <w:keepLines w:val="1"/>
        <w:keepNext w:val="1"/>
        <w:widowControl w:val="1"/>
      </w:pPr>
      <w:r>
        <w:t xml:space="preserve">M9.1: Nº de incidentes significativos por sector/año.  </w:t>
      </w:r>
    </w:p>
    <w:p>
      <w:pPr>
        <w:pStyle w:val="ListBullet"/>
        <w:keepLines w:val="1"/>
        <w:widowControl w:val="1"/>
      </w:pPr>
      <w:r>
        <w:t>M9.2: Clasificación de impacto (servicio, datos, daños físicos, etc.).</w:t>
      </w:r>
    </w:p>
    <w:p>
      <w:r>
        <w:rPr>
          <w:b/>
        </w:rPr>
        <w:t>Indicador 10 – % de incidentes notificados dentro de plazos CRA y calidad del reporte.</w:t>
      </w:r>
    </w:p>
    <w:p>
      <w:pPr>
        <w:pStyle w:val="ListBullet"/>
        <w:keepLines w:val="1"/>
        <w:keepNext w:val="1"/>
        <w:widowControl w:val="1"/>
      </w:pPr>
      <w:r>
        <w:t xml:space="preserve">G: Asegurar el cumplimiento de los plazos de notificación y la utilidad de la información proporcionada.  </w:t>
      </w:r>
    </w:p>
    <w:p>
      <w:pPr>
        <w:pStyle w:val="ListBullet"/>
        <w:keepLines w:val="1"/>
        <w:keepNext w:val="1"/>
        <w:widowControl w:val="1"/>
      </w:pPr>
      <w:r>
        <w:t xml:space="preserve">Q1: ¿Qué porcentaje de incidentes se notifica en plazo?  </w:t>
      </w:r>
    </w:p>
    <w:p>
      <w:pPr>
        <w:pStyle w:val="ListBullet"/>
        <w:keepLines w:val="1"/>
        <w:keepNext w:val="1"/>
        <w:widowControl w:val="1"/>
      </w:pPr>
      <w:r>
        <w:t xml:space="preserve">Q2: ¿Cuántos informes son completos y útiles para la gestión coordinada?  </w:t>
      </w:r>
    </w:p>
    <w:p>
      <w:pPr>
        <w:pStyle w:val="ListBullet"/>
        <w:keepLines w:val="1"/>
        <w:keepNext w:val="1"/>
        <w:widowControl w:val="1"/>
      </w:pPr>
      <w:r>
        <w:t xml:space="preserve">M10.1: Nº incidentes notificados en plazo / Nº total incidentes significativos.  </w:t>
      </w:r>
    </w:p>
    <w:p>
      <w:pPr>
        <w:pStyle w:val="ListBullet"/>
        <w:keepLines w:val="1"/>
        <w:widowControl w:val="1"/>
      </w:pPr>
      <w:r>
        <w:t>M10.2: % de informes que cumplen criterios de completitud/calidad definidos.</w:t>
      </w:r>
    </w:p>
    <w:p>
      <w:r>
        <w:rPr>
          <w:b/>
        </w:rPr>
        <w:t>Indicador 11 – MTTD y MTTC/MTTR para incidentes vinculados a productos CRA.</w:t>
      </w:r>
    </w:p>
    <w:p>
      <w:pPr>
        <w:pStyle w:val="ListBullet"/>
        <w:keepLines w:val="1"/>
        <w:keepNext w:val="1"/>
        <w:widowControl w:val="1"/>
      </w:pPr>
      <w:r>
        <w:t xml:space="preserve">G: Reducir los tiempos de detección y contención de incidentes críticos.  </w:t>
      </w:r>
    </w:p>
    <w:p>
      <w:pPr>
        <w:pStyle w:val="ListBullet"/>
        <w:keepLines w:val="1"/>
        <w:keepNext w:val="1"/>
        <w:widowControl w:val="1"/>
      </w:pPr>
      <w:r>
        <w:t xml:space="preserve">Q1: ¿Cuál es el MTTD/MTTR promedio en sectores esenciales?  </w:t>
      </w:r>
    </w:p>
    <w:p>
      <w:pPr>
        <w:pStyle w:val="ListBullet"/>
        <w:keepLines w:val="1"/>
        <w:keepNext w:val="1"/>
        <w:widowControl w:val="1"/>
      </w:pPr>
      <w:r>
        <w:t xml:space="preserve">M11.1: MTTD medio (horas/días).  </w:t>
      </w:r>
    </w:p>
    <w:p>
      <w:pPr>
        <w:pStyle w:val="ListBullet"/>
        <w:keepLines w:val="1"/>
        <w:widowControl w:val="1"/>
      </w:pPr>
      <w:r>
        <w:t>M11.2: MTTR medio (horas/días).</w:t>
      </w:r>
    </w:p>
    <w:p>
      <w:pPr>
        <w:pStyle w:val="Heading3"/>
        <w:keepNext/>
        <w:keepLines/>
      </w:pPr>
      <w:r>
        <w:t>5.3 G4 – Resiliencia económica y de mercado</w:t>
      </w:r>
    </w:p>
    <w:p>
      <w:r>
        <w:rPr>
          <w:b/>
        </w:rPr>
        <w:t>Indicador 12 – Porcentaje de organizaciones con ciberseguro o certificaciones relevantes.</w:t>
      </w:r>
    </w:p>
    <w:p>
      <w:pPr>
        <w:pStyle w:val="ListBullet"/>
        <w:keepLines w:val="1"/>
        <w:keepNext w:val="1"/>
        <w:widowControl w:val="1"/>
      </w:pPr>
      <w:r>
        <w:t xml:space="preserve">G: Fomentar la transferencia madura de riesgo y la adopción de prácticas verificadas.  </w:t>
      </w:r>
    </w:p>
    <w:p>
      <w:pPr>
        <w:pStyle w:val="ListBullet"/>
        <w:keepLines w:val="1"/>
        <w:keepNext w:val="1"/>
        <w:widowControl w:val="1"/>
      </w:pPr>
      <w:r>
        <w:t xml:space="preserve">Q1: ¿Qué porcentaje de organizaciones dispone de ciberseguro o certificaciones de seguridad?  </w:t>
      </w:r>
    </w:p>
    <w:p>
      <w:pPr>
        <w:pStyle w:val="ListBullet"/>
        <w:keepLines w:val="1"/>
        <w:keepNext w:val="1"/>
        <w:widowControl w:val="1"/>
      </w:pPr>
      <w:r>
        <w:t xml:space="preserve">M12.1: % organizaciones con ciberseguro.  </w:t>
      </w:r>
    </w:p>
    <w:p>
      <w:pPr>
        <w:pStyle w:val="ListBullet"/>
        <w:keepLines w:val="1"/>
        <w:widowControl w:val="1"/>
      </w:pPr>
      <w:r>
        <w:t>M12.2: % organizaciones con certificaciones (ISO 27001, EUCC, etc.).</w:t>
      </w:r>
    </w:p>
    <w:p>
      <w:r>
        <w:rPr>
          <w:b/>
        </w:rPr>
        <w:t>Indicador 13 – Estimación de pérdidas económicas directas e indirectas por incidentes CRA como % del PIB o valor añadido sectorial.</w:t>
      </w:r>
    </w:p>
    <w:p>
      <w:pPr>
        <w:pStyle w:val="ListBullet"/>
        <w:keepLines w:val="1"/>
        <w:keepNext w:val="1"/>
        <w:widowControl w:val="1"/>
      </w:pPr>
      <w:r>
        <w:t xml:space="preserve">G: Cuantificar el impacto macroeconómico de la falta de resiliencia en productos digitales.  </w:t>
      </w:r>
    </w:p>
    <w:p>
      <w:pPr>
        <w:pStyle w:val="ListBullet"/>
        <w:keepLines w:val="1"/>
        <w:keepNext w:val="1"/>
        <w:widowControl w:val="1"/>
      </w:pPr>
      <w:r>
        <w:t xml:space="preserve">Q1: ¿Cuál es el coste económico agregado anual de incidentes ligados a productos CRA?  </w:t>
      </w:r>
    </w:p>
    <w:p>
      <w:pPr>
        <w:pStyle w:val="ListBullet"/>
        <w:keepLines w:val="1"/>
        <w:keepNext w:val="1"/>
        <w:widowControl w:val="1"/>
      </w:pPr>
      <w:r>
        <w:t xml:space="preserve">M13.1: Pérdidas estimadas / PIB nacional.  </w:t>
      </w:r>
    </w:p>
    <w:p>
      <w:pPr>
        <w:pStyle w:val="ListBullet"/>
        <w:keepLines w:val="1"/>
        <w:widowControl w:val="1"/>
      </w:pPr>
      <w:r>
        <w:t>M13.2: Pérdidas estimadas / VAB sectorial.</w:t>
      </w:r>
    </w:p>
    <w:p>
      <w:r>
        <w:rPr>
          <w:b/>
        </w:rPr>
        <w:t>Indicador 14 – Gasto público/privado en ciberseguridad como % del presupuesto TIC, y parte atribuible a CRA.</w:t>
      </w:r>
    </w:p>
    <w:p>
      <w:pPr>
        <w:pStyle w:val="ListBullet"/>
        <w:keepLines w:val="1"/>
        <w:keepNext w:val="1"/>
        <w:widowControl w:val="1"/>
      </w:pPr>
      <w:r>
        <w:t xml:space="preserve">G: Evaluar la suficiencia y orientación del esfuerzo inversor en ciberresiliencia.  </w:t>
      </w:r>
    </w:p>
    <w:p>
      <w:pPr>
        <w:pStyle w:val="ListBullet"/>
        <w:keepLines w:val="1"/>
        <w:keepNext w:val="1"/>
        <w:widowControl w:val="1"/>
      </w:pPr>
      <w:r>
        <w:t xml:space="preserve">Q1: ¿Qué porcentaje de presupuesto TIC se invierte en ciberseguridad y CRA?  </w:t>
      </w:r>
    </w:p>
    <w:p>
      <w:pPr>
        <w:pStyle w:val="ListBullet"/>
        <w:keepLines w:val="1"/>
        <w:keepNext w:val="1"/>
        <w:widowControl w:val="1"/>
      </w:pPr>
      <w:r>
        <w:t xml:space="preserve">M14.1: Gasto en ciberseguridad / Gasto TIC total.  </w:t>
      </w:r>
    </w:p>
    <w:p>
      <w:pPr>
        <w:pStyle w:val="ListBullet"/>
        <w:keepLines w:val="1"/>
        <w:widowControl w:val="1"/>
      </w:pPr>
      <w:r>
        <w:t>M14.2: Gasto CRA estimado / Gasto ciberseguridad.</w:t>
      </w:r>
    </w:p>
    <w:p>
      <w:r>
        <w:rPr>
          <w:b/>
        </w:rPr>
        <w:t>Indicador 15 – Nivel de concentración de proveedores críticos y dependencia de productos no conformes o extracomunitarios sin certificación.</w:t>
      </w:r>
    </w:p>
    <w:p>
      <w:pPr>
        <w:pStyle w:val="ListBullet"/>
        <w:keepLines w:val="1"/>
        <w:keepNext w:val="1"/>
        <w:widowControl w:val="1"/>
      </w:pPr>
      <w:r>
        <w:t xml:space="preserve">G: Reducir riesgos de concentración y dependencia de productos opacos o no conformes.  </w:t>
      </w:r>
    </w:p>
    <w:p>
      <w:pPr>
        <w:pStyle w:val="ListBullet"/>
        <w:keepLines w:val="1"/>
        <w:keepNext w:val="1"/>
        <w:widowControl w:val="1"/>
      </w:pPr>
      <w:r>
        <w:t xml:space="preserve">Q1: ¿Cuál es el grado de concentración de proveedores de productos críticos?  </w:t>
      </w:r>
    </w:p>
    <w:p>
      <w:pPr>
        <w:pStyle w:val="ListBullet"/>
        <w:keepLines w:val="1"/>
        <w:keepNext w:val="1"/>
        <w:widowControl w:val="1"/>
      </w:pPr>
      <w:r>
        <w:t xml:space="preserve">Q2: ¿Qué peso tienen productos no conformes o no certificados?  </w:t>
      </w:r>
    </w:p>
    <w:p>
      <w:pPr>
        <w:pStyle w:val="ListBullet"/>
        <w:keepLines w:val="1"/>
        <w:keepNext w:val="1"/>
        <w:widowControl w:val="1"/>
      </w:pPr>
      <w:r>
        <w:t xml:space="preserve">M15.1: Índice de Herfindahl-Hirschman (HHI) de proveedores críticos.  </w:t>
      </w:r>
    </w:p>
    <w:p>
      <w:pPr>
        <w:pStyle w:val="ListBullet"/>
        <w:keepLines w:val="1"/>
        <w:widowControl w:val="1"/>
      </w:pPr>
      <w:r>
        <w:t>M15.2: % de activos críticos que dependen de productos sin certificación reconocida.</w:t>
      </w:r>
    </w:p>
    <w:p>
      <w:pPr>
        <w:pStyle w:val="Heading3"/>
        <w:keepNext/>
        <w:keepLines/>
      </w:pPr>
      <w:r>
        <w:t>5.4 G1 y G5 – Gobernanza, capacidades y métricas</w:t>
      </w:r>
    </w:p>
    <w:p>
      <w:r>
        <w:rPr>
          <w:b/>
        </w:rPr>
        <w:t>Indicador 16 – Capacidad de las autoridades de vigilancia de mercado (inspecciones, recursos, sanciones).</w:t>
      </w:r>
    </w:p>
    <w:p>
      <w:pPr>
        <w:pStyle w:val="ListBullet"/>
        <w:keepLines w:val="1"/>
        <w:keepNext w:val="1"/>
        <w:widowControl w:val="1"/>
      </w:pPr>
      <w:r>
        <w:t xml:space="preserve">G: Asegurar que las autoridades disponen de medios suficientes para supervisar el CRA.  </w:t>
      </w:r>
    </w:p>
    <w:p>
      <w:pPr>
        <w:pStyle w:val="ListBullet"/>
        <w:keepLines w:val="1"/>
        <w:keepNext w:val="1"/>
        <w:widowControl w:val="1"/>
      </w:pPr>
      <w:r>
        <w:t xml:space="preserve">Q1: ¿Cuántas inspecciones y evaluaciones se realizan?  </w:t>
      </w:r>
    </w:p>
    <w:p>
      <w:pPr>
        <w:pStyle w:val="ListBullet"/>
        <w:keepLines w:val="1"/>
        <w:keepNext w:val="1"/>
        <w:widowControl w:val="1"/>
      </w:pPr>
      <w:r>
        <w:t xml:space="preserve">Q2: ¿Con qué recursos y tiempos de tramitación?  </w:t>
      </w:r>
    </w:p>
    <w:p>
      <w:pPr>
        <w:pStyle w:val="ListBullet"/>
        <w:keepLines w:val="1"/>
        <w:keepNext w:val="1"/>
        <w:widowControl w:val="1"/>
      </w:pPr>
      <w:r>
        <w:t xml:space="preserve">M16.1: Nº de inspecciones/año y recursos por inspector.  </w:t>
      </w:r>
    </w:p>
    <w:p>
      <w:pPr>
        <w:pStyle w:val="ListBullet"/>
        <w:keepLines w:val="1"/>
        <w:widowControl w:val="1"/>
      </w:pPr>
      <w:r>
        <w:t>M16.2: Tiempo medio de tramitación de expedientes.</w:t>
      </w:r>
    </w:p>
    <w:p>
      <w:r>
        <w:rPr>
          <w:b/>
        </w:rPr>
        <w:t>Indicador 17 – Avance en la implementación de la Estrategia Nacional de Ciberseguridad y planes INCIBE/CNCS.</w:t>
      </w:r>
    </w:p>
    <w:p>
      <w:pPr>
        <w:pStyle w:val="ListBullet"/>
        <w:keepLines w:val="1"/>
        <w:keepNext w:val="1"/>
        <w:widowControl w:val="1"/>
      </w:pPr>
      <w:r>
        <w:t xml:space="preserve">G: Alinear la implementación del CRA con las estrategias y planes nacionales.  </w:t>
      </w:r>
    </w:p>
    <w:p>
      <w:pPr>
        <w:pStyle w:val="ListBullet"/>
        <w:keepLines w:val="1"/>
        <w:keepNext w:val="1"/>
        <w:widowControl w:val="1"/>
      </w:pPr>
      <w:r>
        <w:t xml:space="preserve">Q1: ¿Qué porcentaje de acciones CRA‑relevantes está completado?  </w:t>
      </w:r>
    </w:p>
    <w:p>
      <w:pPr>
        <w:pStyle w:val="ListBullet"/>
        <w:keepLines w:val="1"/>
        <w:widowControl w:val="1"/>
      </w:pPr>
      <w:r>
        <w:t>M17.1: % de hitos CRA‑relevantes completados / plan total.</w:t>
      </w:r>
    </w:p>
    <w:p>
      <w:r>
        <w:rPr>
          <w:b/>
        </w:rPr>
        <w:t>Indicador 18 – Tamaño y cualificación de la fuerza laboral en ciberseguridad, incluyendo perfiles de desarrollo seguro y análisis de vulnerabilidades.</w:t>
      </w:r>
    </w:p>
    <w:p>
      <w:pPr>
        <w:pStyle w:val="ListBullet"/>
        <w:keepLines w:val="1"/>
        <w:keepNext w:val="1"/>
        <w:widowControl w:val="1"/>
      </w:pPr>
      <w:r>
        <w:t xml:space="preserve">G: Aumentar el capital humano especializado necesario para aplicar el CRA.  </w:t>
      </w:r>
    </w:p>
    <w:p>
      <w:pPr>
        <w:pStyle w:val="ListBullet"/>
        <w:keepLines w:val="1"/>
        <w:keepNext w:val="1"/>
        <w:widowControl w:val="1"/>
      </w:pPr>
      <w:r>
        <w:t xml:space="preserve">Q1: ¿Cuál es el volumen y la evolución de profesionales en roles CRA‑relevantes?  </w:t>
      </w:r>
    </w:p>
    <w:p>
      <w:pPr>
        <w:pStyle w:val="ListBullet"/>
        <w:keepLines w:val="1"/>
        <w:keepNext w:val="1"/>
        <w:widowControl w:val="1"/>
      </w:pPr>
      <w:r>
        <w:t xml:space="preserve">M18.1: Nº de profesionales en perfiles de ciberseguridad y desarrollo seguro por 100.000 habitantes.  </w:t>
      </w:r>
    </w:p>
    <w:p>
      <w:pPr>
        <w:pStyle w:val="ListBullet"/>
        <w:keepLines w:val="1"/>
        <w:widowControl w:val="1"/>
      </w:pPr>
      <w:r>
        <w:t>M18.2: % de vacantes no cubiertas en estos perfiles.</w:t>
      </w:r>
    </w:p>
    <w:p>
      <w:r>
        <w:rPr>
          <w:b/>
        </w:rPr>
        <w:t>Indicador 19 – Nivel de satisfacción de Estados/autoridades con el apoyo de ENISA y eficacia del marco CRA.</w:t>
      </w:r>
    </w:p>
    <w:p>
      <w:pPr>
        <w:pStyle w:val="ListBullet"/>
        <w:keepLines w:val="1"/>
        <w:keepNext w:val="1"/>
        <w:widowControl w:val="1"/>
      </w:pPr>
      <w:r>
        <w:t xml:space="preserve">G: Mejorar la coordinación y apoyo europeo para la implementación CRA.  </w:t>
      </w:r>
    </w:p>
    <w:p>
      <w:pPr>
        <w:pStyle w:val="ListBullet"/>
        <w:keepLines w:val="1"/>
        <w:keepNext w:val="1"/>
        <w:widowControl w:val="1"/>
      </w:pPr>
      <w:r>
        <w:t xml:space="preserve">Q1: ¿Cómo valoran las autoridades nacionales el soporte recibido y la eficacia del marco?  </w:t>
      </w:r>
    </w:p>
    <w:p>
      <w:pPr>
        <w:pStyle w:val="ListBullet"/>
        <w:keepLines w:val="1"/>
        <w:widowControl w:val="1"/>
      </w:pPr>
      <w:r>
        <w:t>M19.1: Índice de satisfacción (encuesta a autoridades) 0–100.</w:t>
      </w:r>
    </w:p>
    <w:p>
      <w:r>
        <w:rPr>
          <w:b/>
        </w:rPr>
        <w:t>Indicador 20 – Existencia y uso de cuadros de mando CRA en organizaciones clave.</w:t>
      </w:r>
    </w:p>
    <w:p>
      <w:pPr>
        <w:pStyle w:val="ListBullet"/>
        <w:keepLines w:val="1"/>
        <w:keepNext w:val="1"/>
        <w:widowControl w:val="1"/>
      </w:pPr>
      <w:r>
        <w:t xml:space="preserve">G: Fomentar la toma de decisiones basada en datos sobre CRA en organizaciones estratégicas.  </w:t>
      </w:r>
    </w:p>
    <w:p>
      <w:pPr>
        <w:pStyle w:val="ListBullet"/>
        <w:keepLines w:val="1"/>
        <w:keepNext w:val="1"/>
        <w:widowControl w:val="1"/>
      </w:pPr>
      <w:r>
        <w:t xml:space="preserve">Q1: ¿Qué proporción de organizaciones estratégicas dispone de dashboards CRA?  </w:t>
      </w:r>
    </w:p>
    <w:p>
      <w:pPr>
        <w:pStyle w:val="ListBullet"/>
        <w:keepLines w:val="1"/>
        <w:widowControl w:val="1"/>
      </w:pPr>
      <w:r>
        <w:t>M20.1: % de organizaciones críticas con cuadro de mando CRA operativo.</w:t>
      </w:r>
    </w:p>
    <w:p>
      <w:pPr>
        <w:pStyle w:val="Heading2"/>
        <w:keepNext/>
        <w:keepLines/>
      </w:pPr>
      <w:r>
        <w:rPr>
          <w:color w:val="0066CC"/>
        </w:rPr>
        <w:t>6. Integración GQM en la práctica</w:t>
      </w:r>
    </w:p>
    <w:p>
      <w:r>
        <w:t>Este marco permite:</w:t>
      </w:r>
    </w:p>
    <w:p>
      <w:pPr>
        <w:pStyle w:val="ListBullet"/>
        <w:keepLines w:val="1"/>
        <w:keepNext w:val="1"/>
        <w:widowControl w:val="1"/>
      </w:pPr>
      <w:r>
        <w:t xml:space="preserve">Trazar cada dato técnico (M) a las preguntas que responde (Q) y al objetivo nacional que contribuye a alcanzar (G).  </w:t>
      </w:r>
    </w:p>
    <w:p>
      <w:pPr>
        <w:pStyle w:val="ListBullet"/>
        <w:keepLines w:val="1"/>
        <w:keepNext w:val="1"/>
        <w:widowControl w:val="1"/>
      </w:pPr>
      <w:r>
        <w:t xml:space="preserve">Ver dónde faltan métricas para ciertas preguntas, y dónde sobran métricas que no responden a ningún objetivo.  </w:t>
      </w:r>
    </w:p>
    <w:p>
      <w:pPr>
        <w:pStyle w:val="ListBullet"/>
        <w:keepLines w:val="1"/>
        <w:widowControl w:val="1"/>
      </w:pPr>
      <w:r>
        <w:t>Evaluar, con PRAGMATIC, la calidad de cada métrica antes de invertir esfuerzos significativos en su recogida.</w:t>
      </w:r>
    </w:p>
    <w:p>
      <w:r>
        <w:t xml:space="preserve">La Matriz PRAGMATIC completa —con valores 1–5 por indicador— se encuentra en el archivo </w:t>
      </w:r>
      <w:r>
        <w:rPr>
          <w:rFonts w:ascii="Courier New" w:hAnsi="Courier New"/>
          <w:sz w:val="18"/>
        </w:rPr>
        <w:t>CRA_GQM_PRAGMATIC_MatrizEvaluacionCompleta.md</w:t>
      </w:r>
      <w:r>
        <w:t>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