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– GQM + PRAGMATIC aplicado a CRA</w:t>
      </w:r>
    </w:p>
    <w:p>
      <w:pPr>
        <w:pStyle w:val="Heading2"/>
        <w:keepNext/>
        <w:keepLines/>
      </w:pPr>
      <w:r>
        <w:rPr>
          <w:color w:val="0066CC"/>
        </w:rPr>
        <w:t>1. Del regulador al bit: por qué GQM</w:t>
      </w:r>
    </w:p>
    <w:p>
      <w:r>
        <w:t>El CRA habla el idioma de los requisitos, los procedimientos y las obligaciones. Las redes, los dispositivos y las personas hablan, en cambio, el idioma de los logs, los parches, las incidencias y las facturas. Entre ambos mundos hay un abismo semántico que, si no se llena de algo mejor, tiende a llenarse de powerpoints.</w:t>
      </w:r>
    </w:p>
    <w:p>
      <w:r>
        <w:t xml:space="preserve">GQM es, en esencia, una forma disciplinada de tender un puente: empezamos por los </w:t>
      </w:r>
      <w:r>
        <w:rPr>
          <w:b/>
        </w:rPr>
        <w:t>objetivos</w:t>
      </w:r>
      <w:r>
        <w:t xml:space="preserve"> (qué quiere lograr el país con el CRA), seguimos con las </w:t>
      </w:r>
      <w:r>
        <w:rPr>
          <w:b/>
        </w:rPr>
        <w:t>preguntas</w:t>
      </w:r>
      <w:r>
        <w:t xml:space="preserve"> que debemos poder responder para saber si avanzamos, y terminamos en las </w:t>
      </w:r>
      <w:r>
        <w:rPr>
          <w:b/>
        </w:rPr>
        <w:t>métricas</w:t>
      </w:r>
      <w:r>
        <w:t xml:space="preserve"> que convierten esas preguntas en algo medible. No es una teoría metafísica: es una manera de asegurarse de que cada dato tiene un propósito, y cada propósito, una traducción en datos.</w:t>
      </w:r>
    </w:p>
    <w:p>
      <w:pPr>
        <w:pStyle w:val="Heading2"/>
        <w:keepNext/>
        <w:keepLines/>
      </w:pPr>
      <w:r>
        <w:rPr>
          <w:color w:val="0066CC"/>
        </w:rPr>
        <w:t>2. Por qué PRAGMATIC (y por qué en mayúsculas)</w:t>
      </w:r>
    </w:p>
    <w:p>
      <w:r>
        <w:t>Una vez que aceptamos que vamos a medir cosas, queda la cuestión incómoda: ¿qué tan buenas son nuestras métricas? No todas las cifras son iguales. Algunas predicen, otras sólo decoran. Algunas inspiran acción, otras se imprimen en informes que nadie lee.</w:t>
      </w:r>
    </w:p>
    <w:p>
      <w:r>
        <w:t>Los criterios PRAGMATIC nos obligan a mirar a cada métrica de frente:</w:t>
      </w:r>
    </w:p>
    <w:p>
      <w:pPr>
        <w:pStyle w:val="ListBullet"/>
        <w:keepLines w:val="1"/>
        <w:keepNext w:val="1"/>
        <w:widowControl w:val="1"/>
      </w:pPr>
      <w:r>
        <w:t xml:space="preserve">¿Predice algo útil o sólo describe el pasado?  </w:t>
      </w:r>
    </w:p>
    <w:p>
      <w:pPr>
        <w:pStyle w:val="ListBullet"/>
        <w:keepLines w:val="1"/>
        <w:keepNext w:val="1"/>
        <w:widowControl w:val="1"/>
      </w:pPr>
      <w:r>
        <w:t xml:space="preserve">¿Es realmente relevante para los objetivos CRA o simplemente “interesante”?  </w:t>
      </w:r>
    </w:p>
    <w:p>
      <w:pPr>
        <w:pStyle w:val="ListBullet"/>
        <w:keepLines w:val="1"/>
        <w:keepNext w:val="1"/>
        <w:widowControl w:val="1"/>
      </w:pPr>
      <w:r>
        <w:t xml:space="preserve">¿Puede activar decisiones concretas?  </w:t>
      </w:r>
    </w:p>
    <w:p>
      <w:pPr>
        <w:pStyle w:val="ListBullet"/>
        <w:keepLines w:val="1"/>
        <w:keepNext w:val="1"/>
        <w:widowControl w:val="1"/>
      </w:pPr>
      <w:r>
        <w:t xml:space="preserve">¿Mide lo que dice medir, con precisión razonable, en el momento en que hace falta?  </w:t>
      </w:r>
    </w:p>
    <w:p>
      <w:pPr>
        <w:pStyle w:val="ListBullet"/>
        <w:keepLines w:val="1"/>
        <w:keepNext w:val="1"/>
        <w:widowControl w:val="1"/>
      </w:pPr>
      <w:r>
        <w:t xml:space="preserve">¿Es independiente de los sesgos más obvios?  </w:t>
      </w:r>
    </w:p>
    <w:p>
      <w:pPr>
        <w:pStyle w:val="ListBullet"/>
        <w:keepLines w:val="1"/>
        <w:widowControl w:val="1"/>
      </w:pPr>
      <w:r>
        <w:t>¿Compensa el esfuerzo necesario para obtenerla?</w:t>
      </w:r>
    </w:p>
    <w:p>
      <w:r>
        <w:t>No buscamos el 10 en todas las categorías; buscamos entender el perfil de cada métrica para usarla con conocimiento de causa.</w:t>
      </w:r>
    </w:p>
    <w:p>
      <w:pPr>
        <w:pStyle w:val="Heading2"/>
        <w:keepNext/>
        <w:keepLines/>
      </w:pPr>
      <w:r>
        <w:rPr>
          <w:color w:val="0066CC"/>
        </w:rPr>
        <w:t>3. Cómo encajan los indicadores CRA en GQM</w:t>
      </w:r>
    </w:p>
    <w:p>
      <w:r>
        <w:t>En el informe de indicadores CRA se identificaban varias familias de métricas: cobertura de productos conformes, gestión de vulnerabilidades, incidentes y tiempos de respuesta, impacto económico, capacidades institucionales y capital humano.</w:t>
      </w:r>
    </w:p>
    <w:p>
      <w:r>
        <w:t>GQM nos fuerza a hacer explícito:</w:t>
      </w:r>
    </w:p>
    <w:p>
      <w:pPr>
        <w:pStyle w:val="ListBullet"/>
        <w:keepLines w:val="1"/>
        <w:keepNext w:val="1"/>
        <w:widowControl w:val="1"/>
      </w:pPr>
      <w:r>
        <w:t xml:space="preserve">Qué objetivo nacional sirve cada familia. Por ejemplo, reducir la “deuda de vulnerabilidades” o aumentar la proporción de productos certificados en infraestructuras críticas.  </w:t>
      </w:r>
    </w:p>
    <w:p>
      <w:pPr>
        <w:pStyle w:val="ListBullet"/>
        <w:keepLines w:val="1"/>
        <w:keepNext w:val="1"/>
        <w:widowControl w:val="1"/>
      </w:pPr>
      <w:r>
        <w:t xml:space="preserve">Qué preguntas concretas responde. ¿Estamos parcheando más rápido que el año pasado? ¿Se están notificando incidentes en plazo? ¿El sector X está sistemáticamente peor que el Y?  </w:t>
      </w:r>
    </w:p>
    <w:p>
      <w:pPr>
        <w:pStyle w:val="ListBullet"/>
        <w:keepLines w:val="1"/>
        <w:widowControl w:val="1"/>
      </w:pPr>
      <w:r>
        <w:t>Qué métricas específicas necesitamos. TTP, porcentaje de parches aplicados a tiempo, edad de las vulnerabilidades explotadas, nº de certificados EUCC, etc.</w:t>
      </w:r>
    </w:p>
    <w:p>
      <w:r>
        <w:t>Este ejercicio de explicitación tiene un efecto colateral saludable: algunas métricas que parecían inevitables desaparecen, porque no responden a ninguna pregunta relevante. Y otras, que nadie miraba, aparecen como cruciales.</w:t>
      </w:r>
    </w:p>
    <w:p>
      <w:pPr>
        <w:pStyle w:val="Heading2"/>
        <w:keepNext/>
        <w:keepLines/>
      </w:pPr>
      <w:r>
        <w:rPr>
          <w:color w:val="0066CC"/>
        </w:rPr>
        <w:t>4. Qué nos enseña PRAGMATIC de estas métricas</w:t>
      </w:r>
    </w:p>
    <w:p>
      <w:r>
        <w:t>Al aplicar PRAGMATIC a los indicadores CRA, emergen varias observaciones útiles:</w:t>
      </w:r>
    </w:p>
    <w:p>
      <w:pPr>
        <w:pStyle w:val="ListBullet"/>
        <w:keepLines w:val="1"/>
        <w:keepNext w:val="1"/>
        <w:widowControl w:val="1"/>
      </w:pPr>
      <w:r>
        <w:t xml:space="preserve">Las métricas relacionadas con vulnerabilidades y parches (tiempo hasta parche, porcentaje de instalaciones actualizadas, antigüedad de vulnerabilidades explotadas) tienden a puntuar muy alto en Predictivo, Relevante, Accionable y Significativo, aunque su medición no sea trivial.  </w:t>
      </w:r>
    </w:p>
    <w:p>
      <w:pPr>
        <w:pStyle w:val="ListBullet"/>
        <w:keepLines w:val="1"/>
        <w:keepNext w:val="1"/>
        <w:widowControl w:val="1"/>
      </w:pPr>
      <w:r>
        <w:t xml:space="preserve">Los indicadores de impacto macroeconómico (pérdidas como % del PIB o del valor añadido sectorial) son muy significativos para el discurso político y estratégico, pero más débiles en Precisión y Rentabilidad: exigen modelos y asunciones que conviene tratar con humildad.  </w:t>
      </w:r>
    </w:p>
    <w:p>
      <w:pPr>
        <w:pStyle w:val="ListBullet"/>
        <w:keepLines w:val="1"/>
        <w:keepNext w:val="1"/>
        <w:widowControl w:val="1"/>
      </w:pPr>
      <w:r>
        <w:t xml:space="preserve">Las métricas de capital humano y capacidad institucional (número de profesionales, vacantes, inspecciones, tiempos de tramitación) son relativamente fáciles de obtener y muy útiles para políticas de medio plazo, aunque su vínculo con el CRA sea más indirecto que el de un TTP.  </w:t>
      </w:r>
    </w:p>
    <w:p>
      <w:pPr>
        <w:pStyle w:val="ListBullet"/>
        <w:keepLines w:val="1"/>
        <w:widowControl w:val="1"/>
      </w:pPr>
      <w:r>
        <w:t>Algunas métricas muy intuitivas, como el número bruto de incidentes, necesitan contextualización para no convertirse en fuegos artificiales estadísticos: más incidentes reportados pueden ser síntoma de mayor transparencia, no necesariamente de mayor riesgo.</w:t>
      </w:r>
    </w:p>
    <w:p>
      <w:r>
        <w:t>Este mapa PRAGMATIC no pretende descalificar métricas, sino ayudarnos a decidir en cuáles merece la pena invertir primero, cuáles conviene pilotar y cuáles should remain optional.</w:t>
      </w:r>
    </w:p>
    <w:p>
      <w:pPr>
        <w:pStyle w:val="Heading2"/>
        <w:keepNext/>
        <w:keepLines/>
      </w:pPr>
      <w:r>
        <w:rPr>
          <w:color w:val="0066CC"/>
        </w:rPr>
        <w:t>5. Cómo usar este marco en España (y más allá)</w:t>
      </w:r>
    </w:p>
    <w:p>
      <w:r>
        <w:t>Un Estado miembro —o un consorcio sectorial— puede utilizar el marco GQM+PRAGMATIC de la siguiente manera:</w:t>
      </w:r>
    </w:p>
    <w:p>
      <w:pPr>
        <w:pStyle w:val="ListNumber"/>
        <w:keepLines w:val="1"/>
        <w:keepNext w:val="1"/>
        <w:widowControl w:val="1"/>
      </w:pPr>
      <w:r>
        <w:t xml:space="preserve">Seleccionar objetivos prioritarios (por ejemplo, G2 y G3 en sectores críticos durante los primeros años de vigencia del CRA).  </w:t>
      </w:r>
    </w:p>
    <w:p>
      <w:pPr>
        <w:pStyle w:val="ListNumber"/>
        <w:keepLines w:val="1"/>
        <w:keepNext w:val="1"/>
        <w:widowControl w:val="1"/>
      </w:pPr>
      <w:r>
        <w:t xml:space="preserve">Elegir un subconjunto de métricas de alta puntuación PRAGMATIC para componer el cuadro de mando nacional/sectorial.  </w:t>
      </w:r>
    </w:p>
    <w:p>
      <w:pPr>
        <w:pStyle w:val="ListNumber"/>
        <w:keepLines w:val="1"/>
        <w:keepNext w:val="1"/>
        <w:widowControl w:val="1"/>
      </w:pPr>
      <w:r>
        <w:t xml:space="preserve">Definir fuentes de datos y responsabilidades: qué datos proporcionan las autoridades nacionales, qué datos proporcionan fabricantes, operadores, aseguradoras o centros de respuesta.  </w:t>
      </w:r>
    </w:p>
    <w:p>
      <w:pPr>
        <w:pStyle w:val="ListNumber"/>
        <w:keepLines w:val="1"/>
        <w:keepNext w:val="1"/>
        <w:widowControl w:val="1"/>
      </w:pPr>
      <w:r>
        <w:t xml:space="preserve">Arrancar con un núcleo de métricas “core” y un anillo de métricas “experimentales”, aceptando que algunas pasarán el corte y otras se quedarán como curiosidades.  </w:t>
      </w:r>
    </w:p>
    <w:p>
      <w:pPr>
        <w:pStyle w:val="ListNumber"/>
        <w:keepLines w:val="1"/>
        <w:widowControl w:val="1"/>
      </w:pPr>
      <w:r>
        <w:t>Revisar anualmente la cartera de métricas, ajustando en función de la experiencia, la disponibilidad de datos y la evolución de la regulación.</w:t>
      </w:r>
    </w:p>
    <w:p>
      <w:r>
        <w:t>Nada impide que otros países fuera de la UE adopten el mismo enfoque: al fin y al cabo, las vulnerabilidades no piden pasaporte. Pero en el contexto CRA, este tipo de marco es especialmente valioso para comparar manzanas con manzanas entre Estados miembros y sectores.</w:t>
      </w:r>
    </w:p>
    <w:p>
      <w:pPr>
        <w:pStyle w:val="Heading2"/>
        <w:keepNext/>
        <w:keepLines/>
      </w:pPr>
      <w:r>
        <w:rPr>
          <w:color w:val="0066CC"/>
        </w:rPr>
        <w:t>6. Un apunte sobre honestidad y límites</w:t>
      </w:r>
    </w:p>
    <w:p>
      <w:r>
        <w:t>La tentación de hacer de las métricas un nuevo fetiche es real. Un dashboard bien coloreado invita a creer que el mundo está bajo control. La realidad, por desgracia, es analógica, ruidosa y tozuda.</w:t>
      </w:r>
    </w:p>
    <w:p>
      <w:r>
        <w:t>Por eso, este marco insiste en dos ideas:</w:t>
      </w:r>
    </w:p>
    <w:p>
      <w:pPr>
        <w:pStyle w:val="ListBullet"/>
        <w:keepLines w:val="1"/>
        <w:keepNext w:val="1"/>
        <w:widowControl w:val="1"/>
      </w:pPr>
      <w:r>
        <w:t xml:space="preserve">Ninguna métrica, por buena que sea, sustituye al juicio experto.  </w:t>
      </w:r>
    </w:p>
    <w:p>
      <w:pPr>
        <w:pStyle w:val="ListBullet"/>
        <w:keepLines w:val="1"/>
        <w:widowControl w:val="1"/>
      </w:pPr>
      <w:r>
        <w:t>Ningún conjunto de métricas, por completa que parezca, agota la complejidad del ecosistema CRA.</w:t>
      </w:r>
    </w:p>
    <w:p>
      <w:r>
        <w:t xml:space="preserve">El objetivo razonable no es tener todos los números posibles, sino </w:t>
      </w:r>
      <w:r>
        <w:rPr>
          <w:b/>
        </w:rPr>
        <w:t>tener los números adecuados para las conversaciones que importan</w:t>
      </w:r>
      <w:r>
        <w:t>: entre fabricantes y reguladores, entre operadores críticos y proveedores, entre responsables políticos y ciudadanos.</w:t>
      </w:r>
    </w:p>
    <w:p>
      <w:r>
        <w:t>Si al final de aplicar GQM+PRAGMATIC descubrimos que necesitamos menos métricas, pero mejores, el ejercicio habrá merecido la pena.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