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de encuesta a requisitos normativos CRA y a cadenas GQM</w:t>
      </w:r>
    </w:p>
    <w:p>
      <w:r>
        <w:t>Este documento amplía el mapeo previo, asociando cada pregunta de la encuesta CRA a:</w:t>
      </w:r>
      <w:r/>
      <w:r>
        <w:br/>
        <w:t>(1) requisitos normativos CRA/NIS2;</w:t>
      </w:r>
      <w:r/>
      <w:r>
        <w:br/>
        <w:t>(2) objetivos GQM;</w:t>
      </w:r>
      <w:r/>
      <w:r>
        <w:br/>
        <w:t>(3) métricas nacionales PRAGMATIC relevantes.</w:t>
      </w:r>
    </w:p>
    <w:p>
      <w:pPr>
        <w:pStyle w:val="Heading2"/>
        <w:keepNext/>
        <w:keepLines/>
      </w:pPr>
      <w:r>
        <w:rPr>
          <w:color w:val="0066CC"/>
        </w:rPr>
        <w:t>1. Tabla de mapeo detallado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Pregunta | Tema principal                         | Requisito CRA / marco relacionado                              | Objetivo GQM principal | Métrica(s) nacional(es) asociada(s)           | Comentario                                                                                          |</w:t>
        <w:br/>
        <w:t>|----------|----------------------------------------|-----------------------------------------------------------------|-----------------------|-----------------------------------------------|-----------------------------------------------------------------------------------------------------|</w:t>
        <w:br/>
        <w:t>| P5       | Nivel de conocimiento CRA             | CRA – obligaciones de fabricantes/importadores; diligencia     | G1 (Gobernanza)       | M16.1 (inspecciones), M17.1 (avance planes)   | Sirve para estimar conciencia organizativa, insumo para programas de apoyo y supervisión.          |</w:t>
        <w:br/>
        <w:t>| P6       | Responsable CRA                       | CRA – responsabilidad interna; NIS2 (órgano de dirección)      | G1                    | M16.1, M20.1                                  | Pregunta proxy de madurez de gobernanza; relacionable con la presencia de dashboards CRA.          |</w:t>
        <w:br/>
        <w:t>| P7       | Integración en gobernanza             | CRA; NIS2; gobierno corporativo                                | G1                    | M17.1, M20.1                                  | Mide alineamiento entre cumplimiento CRA y órganos de gobierno nacionales/sectoriales.             |</w:t>
        <w:br/>
        <w:t>| P8       | Política de producto seguro           | CRA – seguridad por diseño y por defecto                       | G2 (Cobertura)        | M1.1, M1.2, M2.1                              | Anticipa grado de alineamiento posterior de productos; influye en % de productos CRA-conformes.    |</w:t>
        <w:br/>
        <w:t>| P9       | Inventario de productos               | CRA – documentación técnica                                   | G2                    | M1.1, M4.1, M15.2                             | Condición necesaria para medir cobertura CRA en activos críticos y dependencia de productos inseguros. |</w:t>
        <w:br/>
        <w:t>| P10      | Clasificación de criticidad           | CRA; NIS2 – enfoque basado en riesgos                          | G2/G3                 | M4.1, M15.2                                   | Determina dónde priorizar métricas como TTP o % de productos conformes.                            |</w:t>
        <w:br/>
        <w:t>| P11      | Estado de conformidad                 | CRA – cumplimiento requisitos esenciales                       | G2                    | M1.1, M1.2                                    | Autoevaluación que se puede contrastar con certificaciones y controles externos.                   |</w:t>
        <w:br/>
        <w:t>| P12      | Enfoque de certificación              | CRA + Reglamento certificación; EUCC                           | G2                    | M2.1, M3.1, M3.2                              | Informa sobre uso de vías de presunción de conformidad a nivel nacional.                           |</w:t>
        <w:br/>
        <w:t>| P13      | Integración en SDLC                   | CRA – ciclo de vida; normas ISO/NIST                           | G2/G3                 | M5.1, M5.2                                   | Conecta prácticas de ingeniería con tiempos de parche reales.                                      |</w:t>
        <w:br/>
        <w:t>| P14      | Uso de normas y mapeos                | CRA; ENISA; ISO/IEC; NIST                                      | G2/G5                 | M3.1, M3.2, M20.1                             | Sirve de puente entre normativas y métricas operativas.                                            |</w:t>
        <w:br/>
        <w:t>| P15      | SBOM                                  | CRA – transparencia de componentes                             | G3                    | M6.1, M6.2                                    | Facilita cálculo de métricas sobre vulnerabilidades de terceros.                                   |</w:t>
        <w:br/>
        <w:t>| P16      | Gestión de dependencias               | CRA; NIS2 – riesgos cadena suministro                          | G3/G4                 | M6.1, M15.2                                   | Impacta en deuda de vulnerabilidades y dependencia de productos no certificados.                   |</w:t>
        <w:br/>
        <w:t>| P17      | Proceso de gestión de vulnerabilidades| CRA – gestión continua                                         | G3                    | M5.1, M5.2, M6.1, M6.2                        | Pregunta de madurez de proceso directamente ligada a métricas TTP y “aging vulns”.                |</w:t>
        <w:br/>
        <w:t>| P18      | TTP interno                           | CRA – remediación oportuna                                     | G3                    | M5.1, M5.2                                    | Permite comparar TTP autodeclarado con agregados nacionales.                                       |</w:t>
        <w:br/>
        <w:t>| P19      | Tasa de despliegue de parches         | CRA – actualizaciones                                          | G3                    | M7.1, M8.2                                    | Contribuye a medir el porcentaje de instalaciones parcheadas en plazo.                             |</w:t>
        <w:br/>
        <w:t>| P20      | CVD / bug bounty                      | CRA – divulgación coordinada                                   | G3/G5                 | M8.1                                         | Mejora calidad y cantidad de vulnerabilidades notificadas.                                        |</w:t>
        <w:br/>
        <w:t>| P21      | Medición MTTD                         | CRA – detección temprana                                      | G3                    | M11.1, M9.1                                   | Enlaza capacidades de detección organizativas con estadísticas nacionales de incidentes.           |</w:t>
        <w:br/>
        <w:t>| P22      | Medición MTTR                         | CRA – resiliencia y recuperación                               | G3                    | M11.2, M9.1                                   | Contribuye a explicación de impacto de incidentes a nivel país.                                    |</w:t>
        <w:br/>
        <w:t>| P23      | Preparación para plazos de notificación| CRA – obligación de notificar                                  | G3/G1                 | M10.1, M10.2                                  | Mide capacidad de la organización para contribuir a métricas nacionales de notificación.          |</w:t>
        <w:br/>
        <w:t>| P24      | Coordinación de notificaciones        | CRA – relación con ENISA/autoridades                           | G1                    | M10.1, M19.1                                  | Importante para interpretar datos de satisfacción y eficacia del marco.                            |</w:t>
        <w:br/>
        <w:t>| P25      | Cuadro de mando CRA                   | CRA; ENISA – métricas                                          | G5                    | M20.1                                        | Conecta cultura data-driven con existencia de métricas CRA a nivel país.                           |</w:t>
        <w:br/>
        <w:t>| P26      | Frecuencia de reporting               | CRA; NIS2 – supervisión                                        | G1/G5                 | M17.1, M20.1                                  | Informa de hasta qué punto los datos CRA llegan a alta dirección.                                 |</w:t>
        <w:br/>
        <w:t>| P27      | Conjunto de indicadores internos      | CRA; métricas nacionales                                       | G5                    | Depende de selección (M1–M20)                 | Inventario de qué métricas nacionales ya pueden ser alimentadas con datos organizativos.          |</w:t>
        <w:br/>
        <w:t>| P28      | Recursos disponibles                  | CRA – proporcionalidad; capacidad                             | G1/G5                 | M16.1, M18.1, M18.2                           | Complementa visión macro de capacidad institucional y de talento.                                 |</w:t>
        <w:br/>
        <w:t>| P29      | Formación específica CRA              | CRA; ENISA – capacitación                                     | G5                    | M18.1, M18.2                                   | Indica nivel de esfuerzo formativo organizado.                                                   |</w:t>
        <w:br/>
        <w:t>| P30      | Actitud de la alta dirección          | NIS2; CRA – responsabilidad del órgano de dirección            | G1                    | M17.1, M20.1                                  | Factor cultural que modula todas las demás métricas.                                              |</w:t>
        <w:br/>
        <w:t>| P31      | % presupuesto en ciberseguridad       | CRA; estrategias nacionales                                    | G4                    | M14.1, M13.1, M13.2                           | Insumo para estimar esfuerzo inversor y poner en contexto pérdidas.                               |</w:t>
        <w:br/>
        <w:t>| P32      | % presupuesto ciber vinculado a CRA   | CRA – costes de adaptación                                     | G4                    | M14.2                                        | Base para estimar coste de cumplimiento CRA.                                                      |</w:t>
        <w:br/>
        <w:t>| P33      | Incidentes potencialmente evitables   | CRA – resiliencia                                              | G3/G4                 | M9.1, M13.1, M13.2                            | Contribuye a estimar pérdidas evitables y ROI.                                                    |</w:t>
        <w:br/>
        <w:t>| P34      | Magnitud económica de incidentes      | CRA – impacto económico                                        | G4                    | M13.1, M13.2                                  | Permite ajustar modelos de pérdidas a nivel país/sector.                                         |</w:t>
        <w:br/>
        <w:t>| P35      | Retos percibidos                      | CRA – implementación                                           | G1–G5                 | Contextual para todas las métricas            | Ayuda a interpretar por qué ciertas métricas están rezagadas.                                    |</w:t>
        <w:br/>
        <w:t>| P36      | Apoyo externo deseado                 | CRA; políticas de apoyo                                        | G1–G5                 | M17.1, M19.1                                  | Informa diseño de programas nacionales de formación y soporte.                                   |</w:t>
        <w:br/>
        <w:t>| P37      | Comentarios libres                    | Todas las dimensiones                                          | G1–G5                 | Calidad cualitativa                           | Fuente esencial de hipótesis para refinar métricas y objetivos.                                  |</w:t>
        <w:br/>
      </w:r>
    </w:p>
    <w:p>
      <w:r>
        <w:t>Este mapeo permite, por ejemplo, verificar que la encuesta efectivamente suministra datos para alimentar las métricas seleccionadas a nivel nacional, y detectar huecos donde es necesario ampliar preguntas o buscar fuentes adicionales.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