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Mapeo Detallado de Preguntas a Requisitos Normativos CRA</w:t>
      </w:r>
    </w:p>
    <w:p>
      <w:r>
        <w:t>Nota: Tabla orientativa basada en el articulado del CRA y guías interpretativas. Puede requerir adaptación a textos consolidados y normas de desarrollo específicas.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Tema principal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Requisito CRA / Marco relacionado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Comentario de mapeo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P1–P4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Perfil de organización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CRA – ámbito subjetivo; NIS2; Estrategias nacionales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Permite identificar si la organización entra en el perímetro del CRA y otras normas conexas.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Nivel de conocimiento CRA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CRA (obligaciones de fabricantes/importadores)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Conecta con el deber de diligencia en conocer las obligaciones aplicables.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P6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Responsable CRA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CRA (responsabilidades internas); buenas prácticas ENISA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Refuerza la necesidad de una función clara de cumplimiento y coordinación.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P7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Integración en gobernanza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CRA; NIS2; gobierno corporativo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Vincula obligaciones técnicas con supervisión al más alto nivel.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P8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Política de producto seguro por diseño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CRA (seguridad por diseño y por defecto)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Refleja el principio central del CRA sobre diseño seguro.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P9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Inventario de productos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CRA (documentación técnica; alcance de productos)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Herramienta básica para aplicar el CRA de forma coherente.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P10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Clasificación de criticidad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CRA (impacto y riesgos); NIS2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Orienta el enfoque proporcional a riesgos.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P11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Estado de conformidad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CRA (cumplimiento de requisitos esenciales)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Autoevaluación del grado de alineamiento con requisitos del CRA.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P12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Enfoque de certificación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CRA + Reglamento de certificación (EUCC)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Identifica uso de vías de “presunción de conformidad”.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P13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Integración en SDLC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CRA (ciclo de vida del producto); normas ISO/NIST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Se relaciona con exigencias de seguridad en todo el ciclo de vida.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P14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Uso de normas y mapeos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CRA; ENISA mapping; ISO/IEC; NIST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Conecta el CRA con estándares técnicos de referencia.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P15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SBOM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CRA (transparencia y gestión de componentes)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Facilita gestión de vulnerabilidades y cadena de suministro.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P16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Gestión de dependencias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CRA; NIS2 (riesgos de terceros)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Trata riesgos derivados de componentes de terceros.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P17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Proceso de gestión de vulnerabilidades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CRA (gestión continua de vulnerabilidades)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Núcleo del requisito de mantenimiento y actualización de seguridad.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P18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Tiempo medio hasta parche (TTP)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CRA (remediación oportuna); guías ENISA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Indicador clave de cumplimiento operativo.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P19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Tasa de despliegue de parches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CRA (actualizaciones); resiliencia del usuario final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Aborda la efectividad de la cadena de distribución de parches.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P20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Política CVD / bug bounty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CRA (gestión responsable de vulnerabilidades)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Refleja buenas prácticas de divulgación coordinada.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P21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Medición de MTTD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CRA (detección temprana de incidentes)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Relacionado con capacidad de detección y monitorización.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P22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Medición de MTTC/MTTR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CRA (resiliencia y recuperación)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Mide capacidad de contener y recuperar incidentes.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P23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Preparación para plazos de notificación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CRA (obligación de notificación en 24h, etc.)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Evalúa capacidad de cumplir plazos exigidos.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P24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Coordinación de notificaciones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CRA (interacción con ENISA/autoridades nacionales)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Determina quién articula la relación con las autoridades.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P25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Cuadro de mando CRA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CRA; ENISA (métricas e indicadores)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Indica nivel de monitorización y control interno.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P26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Frecuencia de reporting a alta dirección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CRA; gobierno corporativo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Conecta cumplimiento CRA con supervisión estratégica.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P27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Conjunto de indicadores medidos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CRA; métricas nacionales de ciberresiliencia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Inventario de KPIs relevantes para resiliencia y cumplimiento.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P28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Recursos disponibles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CRA (proporcionalidad; capacidad)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Evalúa si hay medios razonables para cumplir obligaciones.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P29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Formación específica CRA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CRA; ENISA (capacitación); NIS2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Alineado con exigencias de competencia del personal.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P30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Actitud de la alta dirección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CRA; NIS2 (responsabilidad del órgano de dirección)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Mide compromiso estratégico, clave para cumplimiento efectivo.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P31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Presupuesto en ciberseguridad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CRA; estrategias nacionales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Marco para evaluar adecuación de recursos.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P32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Proporción dedicada al CRA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CRA (costes de adaptación)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Estima esfuerzo específico de cumplimiento CRA.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P33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Incidentes potencialmente evitables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CRA; resiliencia; análisis coste–beneficio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Insumo para estimar impacto de madurez CRA.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P34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Magnitud económica de incidentes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CRA; métricas de impacto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Base para análisis de pérdidas evitadas/evitables.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P35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Retos percibidos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CRA; implementación práctica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Identifica barreras que pueden requerir apoyo regulatorio o sectorial.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P36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Apoyo externo deseado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CRA; políticas de apoyo (ENISA, Estados miembros)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Informa diseño de programas de formación, guías, incentivos.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P37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Comentarios libres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CRA; todas las dimensiones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Captura matices no estructurables; útil para interpretación cualitativa.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