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– IGM y ROI con dimensiones GQM + PRAGMATIC</w:t>
      </w:r>
    </w:p>
    <w:p>
      <w:r>
        <w:t>Extiende la plantilla anterior de IGM/ROI para integrar objetivos GQM y métricas nacionales PRAGMATIC.</w:t>
      </w:r>
    </w:p>
    <w:p>
      <w:pPr>
        <w:pStyle w:val="Heading2"/>
        <w:keepNext/>
        <w:keepLines/>
      </w:pPr>
      <w:r>
        <w:rPr>
          <w:color w:val="0066CC"/>
        </w:rPr>
        <w:t>1. Hojas propuestas</w:t>
      </w:r>
    </w:p>
    <w:p>
      <w:pPr>
        <w:pStyle w:val="ListNumber"/>
        <w:keepLines w:val="1"/>
        <w:keepNext w:val="1"/>
        <w:widowControl w:val="1"/>
      </w:pPr>
      <w:r>
        <w:t xml:space="preserve">Datos_Encuesta – Respuestas codificadas (igual que en el kit base).  </w:t>
      </w:r>
    </w:p>
    <w:p>
      <w:pPr>
        <w:pStyle w:val="ListNumber"/>
        <w:keepLines w:val="1"/>
        <w:keepNext w:val="1"/>
        <w:widowControl w:val="1"/>
      </w:pPr>
      <w:r>
        <w:t xml:space="preserve">Codificacion_Preguntas – Tablas de codificación de cada ítem.  </w:t>
      </w:r>
    </w:p>
    <w:p>
      <w:pPr>
        <w:pStyle w:val="ListNumber"/>
        <w:keepLines w:val="1"/>
        <w:keepNext w:val="1"/>
        <w:widowControl w:val="1"/>
      </w:pPr>
      <w:r>
        <w:t xml:space="preserve">Calculo_IGM – Índice Global de Madurez y subíndices.  </w:t>
      </w:r>
    </w:p>
    <w:p>
      <w:pPr>
        <w:pStyle w:val="ListNumber"/>
        <w:keepLines w:val="1"/>
        <w:keepNext w:val="1"/>
        <w:widowControl w:val="1"/>
      </w:pPr>
      <w:r>
        <w:t xml:space="preserve">Mapeo_GQM – Asociación de preguntas a objetivos GQM y métricas nacionales.  </w:t>
      </w:r>
    </w:p>
    <w:p>
      <w:pPr>
        <w:pStyle w:val="ListNumber"/>
        <w:keepLines w:val="1"/>
        <w:keepNext w:val="1"/>
        <w:widowControl w:val="1"/>
      </w:pPr>
      <w:r>
        <w:t xml:space="preserve">Calculo_ROI – Estimaciones de coste, pérdidas evitables y ROI.  </w:t>
      </w:r>
    </w:p>
    <w:p>
      <w:pPr>
        <w:pStyle w:val="ListNumber"/>
        <w:keepLines w:val="1"/>
        <w:widowControl w:val="1"/>
      </w:pPr>
      <w:r>
        <w:t>Dashboard_Nacional – Visualización de métricas agregadas alineadas con GQM.</w:t>
      </w:r>
    </w:p>
    <w:p>
      <w:pPr>
        <w:pStyle w:val="Heading2"/>
        <w:keepNext/>
        <w:keepLines/>
      </w:pPr>
      <w:r>
        <w:rPr>
          <w:color w:val="0066CC"/>
        </w:rPr>
        <w:t>2. Hoja Datos_Encuesta</w:t>
      </w:r>
    </w:p>
    <w:p>
      <w:r>
        <w:t>Idéntica al modelo base:</w:t>
      </w:r>
    </w:p>
    <w:p>
      <w:pPr>
        <w:pStyle w:val="ListBullet"/>
        <w:keepLines w:val="1"/>
        <w:keepNext w:val="1"/>
        <w:widowControl w:val="1"/>
      </w:pPr>
      <w:r>
        <w:t xml:space="preserve">Columnas: ID_Organizacion, Sector, Tamaño, P1…P37 (codificadas).  </w:t>
      </w:r>
    </w:p>
    <w:p>
      <w:pPr>
        <w:pStyle w:val="ListBullet"/>
        <w:keepLines w:val="1"/>
        <w:widowControl w:val="1"/>
      </w:pPr>
      <w:r>
        <w:t>Opcional: Pais, Region, CriticidadSectorial.</w:t>
      </w:r>
    </w:p>
    <w:p>
      <w:pPr>
        <w:pStyle w:val="Heading2"/>
        <w:keepNext/>
        <w:keepLines/>
      </w:pPr>
      <w:r>
        <w:rPr>
          <w:color w:val="0066CC"/>
        </w:rPr>
        <w:t>3. Hoja Codificacion_Preguntas</w:t>
      </w:r>
    </w:p>
    <w:p>
      <w:r>
        <w:t>Para cada pregunta, tabla con:</w:t>
      </w:r>
    </w:p>
    <w:p>
      <w:pPr>
        <w:pStyle w:val="ListBullet"/>
        <w:keepLines w:val="1"/>
        <w:keepNext w:val="1"/>
        <w:widowControl w:val="1"/>
      </w:pPr>
      <w:r>
        <w:t xml:space="preserve">Columna A: Pregunta.  </w:t>
      </w:r>
    </w:p>
    <w:p>
      <w:pPr>
        <w:pStyle w:val="ListBullet"/>
        <w:keepLines w:val="1"/>
        <w:keepNext w:val="1"/>
        <w:widowControl w:val="1"/>
      </w:pPr>
      <w:r>
        <w:t xml:space="preserve">Columna B: Valor_Texto.  </w:t>
      </w:r>
    </w:p>
    <w:p>
      <w:pPr>
        <w:pStyle w:val="ListBullet"/>
        <w:keepLines w:val="1"/>
        <w:keepNext w:val="1"/>
        <w:widowControl w:val="1"/>
      </w:pPr>
      <w:r>
        <w:t xml:space="preserve">Columna C: Valor_Codigo (0–3 ó 0–5).  </w:t>
      </w:r>
    </w:p>
    <w:p>
      <w:pPr>
        <w:pStyle w:val="ListBullet"/>
        <w:keepLines w:val="1"/>
        <w:widowControl w:val="1"/>
      </w:pPr>
      <w:r>
        <w:t>Columna D: Peso (si se quiere diferenciar impacto dentro de una misma dimensión).</w:t>
      </w:r>
    </w:p>
    <w:p>
      <w:r>
        <w:t>Excel puede usar BUSCARV/XLOOKUP para mapear respuestas textuales a códigos.</w:t>
      </w:r>
    </w:p>
    <w:p>
      <w:pPr>
        <w:pStyle w:val="Heading2"/>
        <w:keepNext/>
        <w:keepLines/>
      </w:pPr>
      <w:r>
        <w:rPr>
          <w:color w:val="0066CC"/>
        </w:rPr>
        <w:t>4. Hoja Calculo_IGM</w:t>
      </w:r>
    </w:p>
    <w:p>
      <w:pPr>
        <w:pStyle w:val="Heading3"/>
        <w:keepNext/>
        <w:keepLines/>
      </w:pPr>
      <w:r>
        <w:t>4.1 Dimensiones por columnas</w:t>
      </w:r>
    </w:p>
    <w:p>
      <w:r>
        <w:t>Por ejemplo:</w:t>
      </w:r>
    </w:p>
    <w:p>
      <w:pPr>
        <w:pStyle w:val="ListBullet"/>
        <w:keepLines w:val="1"/>
        <w:keepNext w:val="1"/>
        <w:widowControl w:val="1"/>
      </w:pPr>
      <w:r>
        <w:t xml:space="preserve">GOV (Gobernanza y estrategia)  </w:t>
      </w:r>
    </w:p>
    <w:p>
      <w:pPr>
        <w:pStyle w:val="ListBullet"/>
        <w:keepLines w:val="1"/>
        <w:keepNext w:val="1"/>
        <w:widowControl w:val="1"/>
      </w:pPr>
      <w:r>
        <w:t xml:space="preserve">COV (Cobertura y conformidad)  </w:t>
      </w:r>
    </w:p>
    <w:p>
      <w:pPr>
        <w:pStyle w:val="ListBullet"/>
        <w:keepLines w:val="1"/>
        <w:keepNext w:val="1"/>
        <w:widowControl w:val="1"/>
      </w:pPr>
      <w:r>
        <w:t xml:space="preserve">VULN (Vulnerabilidades e incidentes)  </w:t>
      </w:r>
    </w:p>
    <w:p>
      <w:pPr>
        <w:pStyle w:val="ListBullet"/>
        <w:keepLines w:val="1"/>
        <w:keepNext w:val="1"/>
        <w:widowControl w:val="1"/>
      </w:pPr>
      <w:r>
        <w:t xml:space="preserve">DATA (Métricas y datos)  </w:t>
      </w:r>
    </w:p>
    <w:p>
      <w:pPr>
        <w:pStyle w:val="ListBullet"/>
        <w:keepLines w:val="1"/>
        <w:keepNext w:val="1"/>
        <w:widowControl w:val="1"/>
      </w:pPr>
      <w:r>
        <w:t xml:space="preserve">CAP (Capacidades y cultura)  </w:t>
      </w:r>
    </w:p>
    <w:p>
      <w:pPr>
        <w:pStyle w:val="ListBullet"/>
        <w:keepLines w:val="1"/>
        <w:widowControl w:val="1"/>
      </w:pPr>
      <w:r>
        <w:t>IGM (índice global, 0–100)</w:t>
      </w:r>
    </w:p>
    <w:p>
      <w:r>
        <w:t>Cada dimensión se calcula como:</w:t>
      </w:r>
    </w:p>
    <w:p>
      <w:pPr>
        <w:pStyle w:val="ListBullet"/>
        <w:keepLines w:val="1"/>
        <w:keepNext w:val="1"/>
        <w:widowControl w:val="1"/>
      </w:pPr>
      <w:r>
        <w:t xml:space="preserve">GOV = PROMEDIO(normalizados(P5,P6,P7,P8,P26,P30)) * 100  </w:t>
      </w:r>
    </w:p>
    <w:p>
      <w:pPr>
        <w:pStyle w:val="ListBullet"/>
        <w:keepLines w:val="1"/>
        <w:keepNext w:val="1"/>
        <w:widowControl w:val="1"/>
      </w:pPr>
      <w:r>
        <w:t xml:space="preserve">COV = PROMEDIO(normalizados(P9,P10,P11,P12,P13,P14,P15,P16)) * 100  </w:t>
      </w:r>
    </w:p>
    <w:p>
      <w:pPr>
        <w:pStyle w:val="ListBullet"/>
        <w:keepLines w:val="1"/>
        <w:widowControl w:val="1"/>
      </w:pPr>
      <w:r>
        <w:t>etc.</w:t>
      </w:r>
    </w:p>
    <w:p>
      <w:r>
        <w:t xml:space="preserve">La </w:t>
      </w:r>
      <w:r>
        <w:rPr>
          <w:b/>
        </w:rPr>
        <w:t>normalización</w:t>
      </w:r>
      <w:r>
        <w:t xml:space="preserve"> consiste en </w:t>
      </w:r>
      <w:r>
        <w:rPr>
          <w:rFonts w:ascii="Courier New" w:hAnsi="Courier New"/>
          <w:sz w:val="18"/>
        </w:rPr>
        <w:t>Valor_Codigo / Valor_Maximo_Pregunta</w:t>
      </w:r>
      <w:r>
        <w:t>.</w:t>
      </w:r>
    </w:p>
    <w:p>
      <w:pPr>
        <w:pStyle w:val="Heading3"/>
        <w:keepNext/>
        <w:keepLines/>
      </w:pPr>
      <w:r>
        <w:t>4.2 Integración GQM</w:t>
      </w:r>
    </w:p>
    <w:p>
      <w:r>
        <w:t>Se añade para cada organización:</w:t>
      </w:r>
    </w:p>
    <w:p>
      <w:pPr>
        <w:pStyle w:val="ListBullet"/>
        <w:keepLines w:val="1"/>
        <w:widowControl w:val="1"/>
      </w:pPr>
      <w:r>
        <w:t>G1_Score, G2_Score, G3_Score, G4_Score, G5_Score.</w:t>
      </w:r>
    </w:p>
    <w:p>
      <w:r>
        <w:t>Estos pueden derivarse de los mismos grupos de preguntas, pero agrupados por objetivo GQM:</w:t>
      </w:r>
    </w:p>
    <w:p>
      <w:pPr>
        <w:pStyle w:val="ListBullet"/>
        <w:keepLines w:val="1"/>
        <w:keepNext w:val="1"/>
        <w:widowControl w:val="1"/>
      </w:pPr>
      <w:r>
        <w:t xml:space="preserve">G2_Score pondera especialmente P9–P16 (productos) y las partes de P27 que se refieren a métricas de productos.  </w:t>
      </w:r>
    </w:p>
    <w:p>
      <w:pPr>
        <w:pStyle w:val="ListBullet"/>
        <w:keepLines w:val="1"/>
        <w:keepNext w:val="1"/>
        <w:widowControl w:val="1"/>
      </w:pPr>
      <w:r>
        <w:t xml:space="preserve">G3_Score pondera P17–P24, P33–P34.  </w:t>
      </w:r>
    </w:p>
    <w:p>
      <w:pPr>
        <w:pStyle w:val="ListBullet"/>
        <w:keepLines w:val="1"/>
        <w:widowControl w:val="1"/>
      </w:pPr>
      <w:r>
        <w:t>etc.</w:t>
      </w:r>
    </w:p>
    <w:p>
      <w:pPr>
        <w:pStyle w:val="Heading2"/>
        <w:keepNext/>
        <w:keepLines/>
      </w:pPr>
      <w:r>
        <w:rPr>
          <w:color w:val="0066CC"/>
        </w:rPr>
        <w:t>5. Hoja Mapeo_GQM</w:t>
      </w:r>
    </w:p>
    <w:p>
      <w:r>
        <w:t>Contiene la tabla:</w:t>
      </w:r>
    </w:p>
    <w:p>
      <w:pPr>
        <w:pStyle w:val="ListBullet"/>
        <w:keepLines w:val="1"/>
        <w:widowControl w:val="1"/>
      </w:pPr>
      <w:r>
        <w:t>Pregunta, Objetivo_GQM, Metrica_Nacional, Peso_en_Objetivo.</w:t>
      </w:r>
    </w:p>
    <w:p>
      <w:r>
        <w:t>Ejemplo de fila:</w:t>
      </w:r>
    </w:p>
    <w:p>
      <w:pPr>
        <w:pStyle w:val="ListBullet"/>
        <w:keepLines w:val="1"/>
        <w:widowControl w:val="1"/>
      </w:pPr>
      <w:r>
        <w:t>P18 | G3 | M5.1 | 0,15</w:t>
      </w:r>
    </w:p>
    <w:p>
      <w:r>
        <w:t>Esto permite construir fórmulas del tipo:</w:t>
      </w:r>
    </w:p>
    <w:p>
      <w:pPr>
        <w:pStyle w:val="ListBullet"/>
        <w:keepLines w:val="1"/>
        <w:widowControl w:val="1"/>
      </w:pPr>
      <w:r>
        <w:t>G3_Score = SUMAPRODUCTO(Valores_Normalizados_P17:P24, Pesos_G3_P17:P24) * 100</w:t>
      </w:r>
    </w:p>
    <w:p>
      <w:pPr>
        <w:pStyle w:val="Heading2"/>
        <w:keepNext/>
        <w:keepLines/>
      </w:pPr>
      <w:r>
        <w:rPr>
          <w:color w:val="0066CC"/>
        </w:rPr>
        <w:t>6. Hoja Calculo_ROI</w:t>
      </w:r>
    </w:p>
    <w:p>
      <w:pPr>
        <w:pStyle w:val="Heading3"/>
        <w:keepNext/>
        <w:keepLines/>
      </w:pPr>
      <w:r>
        <w:t>6.1 Entradas clave</w:t>
      </w:r>
    </w:p>
    <w:p>
      <w:pPr>
        <w:pStyle w:val="ListBullet"/>
        <w:keepLines w:val="1"/>
        <w:keepNext w:val="1"/>
        <w:widowControl w:val="1"/>
      </w:pPr>
      <w:r>
        <w:t xml:space="preserve">Presupuesto_TIC (si se dispone, por organización).  </w:t>
      </w:r>
    </w:p>
    <w:p>
      <w:pPr>
        <w:pStyle w:val="ListBullet"/>
        <w:keepLines w:val="1"/>
        <w:keepNext w:val="1"/>
        <w:widowControl w:val="1"/>
      </w:pPr>
      <w:r>
        <w:t xml:space="preserve">Pct_Ciberseguridad (derivado de P31).  </w:t>
      </w:r>
    </w:p>
    <w:p>
      <w:pPr>
        <w:pStyle w:val="ListBullet"/>
        <w:keepLines w:val="1"/>
        <w:keepNext w:val="1"/>
        <w:widowControl w:val="1"/>
      </w:pPr>
      <w:r>
        <w:t xml:space="preserve">Pct_CRA (derivado de P32).  </w:t>
      </w:r>
    </w:p>
    <w:p>
      <w:pPr>
        <w:pStyle w:val="ListBullet"/>
        <w:keepLines w:val="1"/>
        <w:keepNext w:val="1"/>
        <w:widowControl w:val="1"/>
      </w:pPr>
      <w:r>
        <w:t xml:space="preserve">Incidentes_Evitables (P33).  </w:t>
      </w:r>
    </w:p>
    <w:p>
      <w:pPr>
        <w:pStyle w:val="ListBullet"/>
        <w:keepLines w:val="1"/>
        <w:keepNext w:val="1"/>
        <w:widowControl w:val="1"/>
      </w:pPr>
      <w:r>
        <w:t xml:space="preserve">Impacto_Incidentes (P34, convertido al valor medio del rango).  </w:t>
      </w:r>
    </w:p>
    <w:p>
      <w:pPr>
        <w:pStyle w:val="ListBullet"/>
        <w:keepLines w:val="1"/>
        <w:widowControl w:val="1"/>
      </w:pPr>
      <w:r>
        <w:t>IGM (de Calculo_IGM).</w:t>
      </w:r>
    </w:p>
    <w:p>
      <w:pPr>
        <w:pStyle w:val="Heading3"/>
        <w:keepNext/>
        <w:keepLines/>
      </w:pPr>
      <w:r>
        <w:t>6.2 Escenarios de reducción de pérdidas</w:t>
      </w:r>
    </w:p>
    <w:p>
      <w:r>
        <w:t>Se definen supuestos:</w:t>
      </w:r>
    </w:p>
    <w:p>
      <w:pPr>
        <w:pStyle w:val="ListBullet"/>
        <w:keepLines w:val="1"/>
        <w:keepNext w:val="1"/>
        <w:widowControl w:val="1"/>
      </w:pPr>
      <w:r>
        <w:t xml:space="preserve">Escenario Base: reducción esperable de pérdidas del 10 % por cada 10 puntos de IGM ganados por encima de un umbral (por ejemplo, 40).  </w:t>
      </w:r>
    </w:p>
    <w:p>
      <w:pPr>
        <w:pStyle w:val="ListBullet"/>
        <w:keepLines w:val="1"/>
        <w:widowControl w:val="1"/>
      </w:pPr>
      <w:r>
        <w:t>Escenario Conservador / Optimista, modificando el factor.</w:t>
      </w:r>
    </w:p>
    <w:p>
      <w:r>
        <w:t>En Excel:</w:t>
      </w:r>
    </w:p>
    <w:p>
      <w:pPr>
        <w:pStyle w:val="ListBullet"/>
        <w:keepLines w:val="1"/>
        <w:keepNext w:val="1"/>
        <w:widowControl w:val="1"/>
      </w:pPr>
      <w:r>
        <w:t xml:space="preserve">Delta_IGM = MAX(0; IGM - 40).  </w:t>
      </w:r>
    </w:p>
    <w:p>
      <w:pPr>
        <w:pStyle w:val="ListBullet"/>
        <w:keepLines w:val="1"/>
        <w:keepNext w:val="1"/>
        <w:widowControl w:val="1"/>
      </w:pPr>
      <w:r>
        <w:t xml:space="preserve">Factor_Reduccion = MIN(0,5; Delta_IGM / 100 * 0,5)  → máximo 50 % de reducción.  </w:t>
      </w:r>
    </w:p>
    <w:p>
      <w:pPr>
        <w:pStyle w:val="ListBullet"/>
        <w:keepLines w:val="1"/>
        <w:keepNext w:val="1"/>
        <w:widowControl w:val="1"/>
      </w:pPr>
      <w:r>
        <w:t xml:space="preserve">Perdida_Evitable = Impacto_Incidentes * Factor_Reduccion.  </w:t>
      </w:r>
    </w:p>
    <w:p>
      <w:pPr>
        <w:pStyle w:val="ListBullet"/>
        <w:keepLines w:val="1"/>
        <w:keepNext w:val="1"/>
        <w:widowControl w:val="1"/>
      </w:pPr>
      <w:r>
        <w:t xml:space="preserve">Presupuesto_CRA = Presupuesto_TIC * Pct_Ciberseguridad * Pct_CRA.  </w:t>
      </w:r>
    </w:p>
    <w:p>
      <w:pPr>
        <w:pStyle w:val="ListBullet"/>
        <w:keepLines w:val="1"/>
        <w:widowControl w:val="1"/>
      </w:pPr>
      <w:r>
        <w:t>ROI_Ratio = Perdida_Evitable / Presupuesto_CRA.</w:t>
      </w:r>
    </w:p>
    <w:p>
      <w:pPr>
        <w:pStyle w:val="Heading2"/>
        <w:keepNext/>
        <w:keepLines/>
      </w:pPr>
      <w:r>
        <w:rPr>
          <w:color w:val="0066CC"/>
        </w:rPr>
        <w:t>7. Hoja Dashboard_Nacional</w:t>
      </w:r>
    </w:p>
    <w:p>
      <w:r>
        <w:t>Agrega datos por:</w:t>
      </w:r>
    </w:p>
    <w:p>
      <w:pPr>
        <w:pStyle w:val="ListBullet"/>
        <w:keepLines w:val="1"/>
        <w:keepNext w:val="1"/>
        <w:widowControl w:val="1"/>
      </w:pPr>
      <w:r>
        <w:t xml:space="preserve">Sector.  </w:t>
      </w:r>
    </w:p>
    <w:p>
      <w:pPr>
        <w:pStyle w:val="ListBullet"/>
        <w:keepLines w:val="1"/>
        <w:keepNext w:val="1"/>
        <w:widowControl w:val="1"/>
      </w:pPr>
      <w:r>
        <w:t xml:space="preserve">Tamaño.  </w:t>
      </w:r>
    </w:p>
    <w:p>
      <w:pPr>
        <w:pStyle w:val="ListBullet"/>
        <w:keepLines w:val="1"/>
        <w:widowControl w:val="1"/>
      </w:pPr>
      <w:r>
        <w:t xml:space="preserve">Región.  </w:t>
      </w:r>
    </w:p>
    <w:p>
      <w:r>
        <w:t>Ejemplos de visualizaciones:</w:t>
      </w:r>
    </w:p>
    <w:p>
      <w:pPr>
        <w:pStyle w:val="ListBullet"/>
        <w:keepLines w:val="1"/>
        <w:keepNext w:val="1"/>
        <w:widowControl w:val="1"/>
      </w:pPr>
      <w:r>
        <w:t xml:space="preserve">Mapa de calor de G2_Score y G3_Score por sector.  </w:t>
      </w:r>
    </w:p>
    <w:p>
      <w:pPr>
        <w:pStyle w:val="ListBullet"/>
        <w:keepLines w:val="1"/>
        <w:keepNext w:val="1"/>
        <w:widowControl w:val="1"/>
      </w:pPr>
      <w:r>
        <w:t xml:space="preserve">Gráfico de dispersión IGM vs ROI_Ratio.  </w:t>
      </w:r>
    </w:p>
    <w:p>
      <w:pPr>
        <w:pStyle w:val="ListBullet"/>
        <w:keepLines w:val="1"/>
        <w:widowControl w:val="1"/>
      </w:pPr>
      <w:r>
        <w:t>Gráfico de barras de M6.1 (deuda de vulnerabilidades) por sector crítico.</w:t>
      </w:r>
    </w:p>
    <w:p>
      <w:r>
        <w:t>El cuadro de mando puede alimentarse directamente con Power BI u otra herramienta, pero esta hoja sirve como puente.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