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Plantilla de Reporte Ejecutivo (PPT) – GQM + PRAGMATIC para CRA</w:t>
      </w:r>
    </w:p>
    <w:p>
      <w:r>
        <w:t>Guion ampliado para presentar resultados y justificar por qué medimos lo que medimos.</w:t>
      </w:r>
    </w:p>
    <w:p>
      <w:pPr>
        <w:pStyle w:val="Heading2"/>
        <w:keepNext/>
        <w:keepLines/>
      </w:pPr>
      <w:r>
        <w:rPr>
          <w:color w:val="0066CC"/>
        </w:rPr>
        <w:t>Diapositiva 1 – Portada</w:t>
      </w:r>
    </w:p>
    <w:p>
      <w:pPr>
        <w:pStyle w:val="ListBullet"/>
        <w:keepLines w:val="1"/>
        <w:keepNext w:val="1"/>
        <w:widowControl w:val="1"/>
      </w:pPr>
      <w:r>
        <w:t xml:space="preserve">Título: “Indicadores CRA: de los objetivos a las métricas (GQM + PRAGMATIC)”  </w:t>
      </w:r>
    </w:p>
    <w:p>
      <w:pPr>
        <w:pStyle w:val="ListBullet"/>
        <w:keepLines w:val="1"/>
        <w:keepNext w:val="1"/>
        <w:widowControl w:val="1"/>
      </w:pPr>
      <w:r>
        <w:t xml:space="preserve">Subtítulo: Sector/País/Periodo.  </w:t>
      </w:r>
    </w:p>
    <w:p>
      <w:pPr>
        <w:pStyle w:val="ListBullet"/>
        <w:keepLines w:val="1"/>
        <w:widowControl w:val="1"/>
      </w:pPr>
      <w:r>
        <w:t>Fecha, logos, autoría.</w:t>
      </w:r>
    </w:p>
    <w:p>
      <w:pPr>
        <w:pStyle w:val="Heading2"/>
        <w:keepNext/>
        <w:keepLines/>
      </w:pPr>
      <w:r>
        <w:rPr>
          <w:color w:val="0066CC"/>
        </w:rPr>
        <w:t>Diapositiva 2 – CRA en 30 segundos</w:t>
      </w:r>
    </w:p>
    <w:p>
      <w:pPr>
        <w:pStyle w:val="ListBullet"/>
        <w:keepLines w:val="1"/>
        <w:keepNext w:val="1"/>
        <w:widowControl w:val="1"/>
      </w:pPr>
      <w:r>
        <w:t xml:space="preserve">2–3 bullets sobre el CRA y su impacto en productos digitales.  </w:t>
      </w:r>
    </w:p>
    <w:p>
      <w:pPr>
        <w:pStyle w:val="ListBullet"/>
        <w:keepLines w:val="1"/>
        <w:widowControl w:val="1"/>
      </w:pPr>
      <w:r>
        <w:t>Mensaje: no es sólo cumplimiento, es resiliencia del país.</w:t>
      </w:r>
    </w:p>
    <w:p>
      <w:pPr>
        <w:pStyle w:val="Heading2"/>
        <w:keepNext/>
        <w:keepLines/>
      </w:pPr>
      <w:r>
        <w:rPr>
          <w:color w:val="0066CC"/>
        </w:rPr>
        <w:t>Diapositiva 3 – Por qué GQM</w:t>
      </w:r>
    </w:p>
    <w:p>
      <w:pPr>
        <w:pStyle w:val="ListBullet"/>
        <w:keepLines w:val="1"/>
        <w:keepNext w:val="1"/>
        <w:widowControl w:val="1"/>
      </w:pPr>
      <w:r>
        <w:t xml:space="preserve">Esquema visual: Objetivos (G) → Preguntas (Q) → Métricas (M).  </w:t>
      </w:r>
    </w:p>
    <w:p>
      <w:pPr>
        <w:pStyle w:val="ListBullet"/>
        <w:keepLines w:val="1"/>
        <w:widowControl w:val="1"/>
      </w:pPr>
      <w:r>
        <w:t>Ejemplo sencillo: “Reducir vulnerabilidades antiguas” → “¿Cuál es la edad media de vulns explotadas?” → “% vulns &gt; 12 meses (M6.1)”.</w:t>
      </w:r>
    </w:p>
    <w:p>
      <w:pPr>
        <w:pStyle w:val="Heading2"/>
        <w:keepNext/>
        <w:keepLines/>
      </w:pPr>
      <w:r>
        <w:rPr>
          <w:color w:val="0066CC"/>
        </w:rPr>
        <w:t>Diapositiva 4 – Por qué PRAGMATIC</w:t>
      </w:r>
    </w:p>
    <w:p>
      <w:pPr>
        <w:pStyle w:val="ListBullet"/>
        <w:keepLines w:val="1"/>
        <w:keepNext w:val="1"/>
        <w:widowControl w:val="1"/>
      </w:pPr>
      <w:r>
        <w:t xml:space="preserve">Lista breve: P, R, A, G, S, Precisión, Oportunidad, Independencia, Rentabilidad.  </w:t>
      </w:r>
    </w:p>
    <w:p>
      <w:pPr>
        <w:pStyle w:val="ListBullet"/>
        <w:keepLines w:val="1"/>
        <w:widowControl w:val="1"/>
      </w:pPr>
      <w:r>
        <w:t>Mensaje: no todas las métricas son iguales; escogemos con criterio.</w:t>
      </w:r>
    </w:p>
    <w:p>
      <w:pPr>
        <w:pStyle w:val="Heading2"/>
        <w:keepNext/>
        <w:keepLines/>
      </w:pPr>
      <w:r>
        <w:rPr>
          <w:color w:val="0066CC"/>
        </w:rPr>
        <w:t>Diapositiva 5 – Objetivos nacionales CRA (G1–G5)</w:t>
      </w:r>
    </w:p>
    <w:p>
      <w:pPr>
        <w:pStyle w:val="ListBullet"/>
        <w:keepLines w:val="1"/>
        <w:keepNext w:val="1"/>
        <w:widowControl w:val="1"/>
      </w:pPr>
      <w:r>
        <w:t xml:space="preserve">Gráfico esquemático con los cinco objetivos: Gobernanza, Cobertura, Vulnerabilidades/Incidentes, Resiliencia económica, Capacidades.  </w:t>
      </w:r>
    </w:p>
    <w:p>
      <w:pPr>
        <w:pStyle w:val="ListBullet"/>
        <w:keepLines w:val="1"/>
        <w:widowControl w:val="1"/>
      </w:pPr>
      <w:r>
        <w:t>Nota: se enlazan con estrategia nacional de ciberseguridad.</w:t>
      </w:r>
    </w:p>
    <w:p>
      <w:pPr>
        <w:pStyle w:val="Heading2"/>
        <w:keepNext/>
        <w:keepLines/>
      </w:pPr>
      <w:r>
        <w:rPr>
          <w:color w:val="0066CC"/>
        </w:rPr>
        <w:t>Diapositiva 6 – Matriz GQM: ejemplo de familia de métricas</w:t>
      </w:r>
    </w:p>
    <w:p>
      <w:pPr>
        <w:pStyle w:val="ListBullet"/>
        <w:keepLines w:val="1"/>
        <w:keepNext w:val="1"/>
        <w:widowControl w:val="1"/>
      </w:pPr>
      <w:r>
        <w:t xml:space="preserve">Tabla simplificada para G3 (vulnerabilidades e incidentes):  </w:t>
      </w:r>
    </w:p>
    <w:p>
      <w:pPr>
        <w:pStyle w:val="ListBullet"/>
        <w:keepLines w:val="1"/>
        <w:keepNext w:val="1"/>
        <w:widowControl w:val="1"/>
      </w:pPr>
      <w:r>
        <w:t xml:space="preserve">G3 → Qs → Ms (TTP, % parches en plazo, edad de vulns, etc.).  </w:t>
      </w:r>
    </w:p>
    <w:p>
      <w:pPr>
        <w:pStyle w:val="ListBullet"/>
        <w:keepLines w:val="1"/>
        <w:widowControl w:val="1"/>
      </w:pPr>
      <w:r>
        <w:t>Muestra cómo cada indicador responde a una pregunta concreta.</w:t>
      </w:r>
    </w:p>
    <w:p>
      <w:pPr>
        <w:pStyle w:val="Heading2"/>
        <w:keepNext/>
        <w:keepLines/>
      </w:pPr>
      <w:r>
        <w:rPr>
          <w:color w:val="0066CC"/>
        </w:rPr>
        <w:t>Diapositiva 7 – Núcleo duro de métricas (PRAGMATIC “altas”)</w:t>
      </w:r>
    </w:p>
    <w:p>
      <w:pPr>
        <w:pStyle w:val="ListBullet"/>
        <w:keepLines w:val="1"/>
        <w:keepNext w:val="1"/>
        <w:widowControl w:val="1"/>
      </w:pPr>
      <w:r>
        <w:t xml:space="preserve">Resumen de métricas con mayor puntuación en Relevante + Accionable + Significativo:  </w:t>
      </w:r>
    </w:p>
    <w:p>
      <w:pPr>
        <w:pStyle w:val="ListBullet"/>
        <w:keepLines w:val="1"/>
        <w:keepNext w:val="1"/>
        <w:widowControl w:val="1"/>
      </w:pPr>
      <w:r>
        <w:t xml:space="preserve">TTP (M5.1), % parches en plazo (M7.1), % vulns &gt; 12 meses (M6.1), % activos críticos con productos conformes (M4.1), etc.  </w:t>
      </w:r>
    </w:p>
    <w:p>
      <w:pPr>
        <w:pStyle w:val="ListBullet"/>
        <w:keepLines w:val="1"/>
        <w:widowControl w:val="1"/>
      </w:pPr>
      <w:r>
        <w:t>Mensaje: estas métricas forman el “core” del cuadro de mando.</w:t>
      </w:r>
    </w:p>
    <w:p>
      <w:pPr>
        <w:pStyle w:val="Heading2"/>
        <w:keepNext/>
        <w:keepLines/>
      </w:pPr>
      <w:r>
        <w:rPr>
          <w:color w:val="0066CC"/>
        </w:rPr>
        <w:t>Diapositiva 8 – Métricas estructurales y de impacto macro</w:t>
      </w:r>
    </w:p>
    <w:p>
      <w:pPr>
        <w:pStyle w:val="ListBullet"/>
        <w:keepLines w:val="1"/>
        <w:keepNext w:val="1"/>
        <w:widowControl w:val="1"/>
      </w:pPr>
      <w:r>
        <w:t xml:space="preserve">Métricas de certificación, gasto, pérdidas económicas.  </w:t>
      </w:r>
    </w:p>
    <w:p>
      <w:pPr>
        <w:pStyle w:val="ListBullet"/>
        <w:keepLines w:val="1"/>
        <w:widowControl w:val="1"/>
      </w:pPr>
      <w:r>
        <w:t>Nota: más útiles para discurso estratégico y planificación de políticas; menos para operaciones del día a día.</w:t>
      </w:r>
    </w:p>
    <w:p>
      <w:pPr>
        <w:pStyle w:val="Heading2"/>
        <w:keepNext/>
        <w:keepLines/>
      </w:pPr>
      <w:r>
        <w:rPr>
          <w:color w:val="0066CC"/>
        </w:rPr>
        <w:t>Diapositiva 9 – PRAGMATIC: perfil de las métricas (ejemplo gráfico)</w:t>
      </w:r>
    </w:p>
    <w:p>
      <w:pPr>
        <w:pStyle w:val="ListBullet"/>
        <w:keepLines w:val="1"/>
        <w:keepNext w:val="1"/>
        <w:widowControl w:val="1"/>
      </w:pPr>
      <w:r>
        <w:t xml:space="preserve">Radar o bar chart comparando P, R, A, S de 4–5 métricas clave.  </w:t>
      </w:r>
    </w:p>
    <w:p>
      <w:pPr>
        <w:pStyle w:val="ListBullet"/>
        <w:keepLines w:val="1"/>
        <w:widowControl w:val="1"/>
      </w:pPr>
      <w:r>
        <w:t>Ilustra que algunas son muy predictivas y accionables, otras más contextuales.</w:t>
      </w:r>
    </w:p>
    <w:p>
      <w:pPr>
        <w:pStyle w:val="Heading2"/>
        <w:keepNext/>
        <w:keepLines/>
      </w:pPr>
      <w:r>
        <w:rPr>
          <w:color w:val="0066CC"/>
        </w:rPr>
        <w:t>Diapositiva 10 – Integración con la encuesta CRA</w:t>
      </w:r>
    </w:p>
    <w:p>
      <w:pPr>
        <w:pStyle w:val="ListBullet"/>
        <w:keepLines w:val="1"/>
        <w:keepNext w:val="1"/>
        <w:widowControl w:val="1"/>
      </w:pPr>
      <w:r>
        <w:t xml:space="preserve">Gráfico que muestra cómo las respuestas a P17–P24 alimentan M5.x, M6.x, M7.x, M10.x, M11.x.  </w:t>
      </w:r>
    </w:p>
    <w:p>
      <w:pPr>
        <w:pStyle w:val="ListBullet"/>
        <w:keepLines w:val="1"/>
        <w:widowControl w:val="1"/>
      </w:pPr>
      <w:r>
        <w:t>Mensaje: el cuestionario no es una isla; es la fuente primaria de datos para indicadores nacionales.</w:t>
      </w:r>
    </w:p>
    <w:p>
      <w:pPr>
        <w:pStyle w:val="Heading2"/>
        <w:keepNext/>
        <w:keepLines/>
      </w:pPr>
      <w:r>
        <w:rPr>
          <w:color w:val="0066CC"/>
        </w:rPr>
        <w:t>Diapositiva 11 – IGM y objetivos GQM</w:t>
      </w:r>
    </w:p>
    <w:p>
      <w:pPr>
        <w:pStyle w:val="ListBullet"/>
        <w:keepLines w:val="1"/>
        <w:keepNext w:val="1"/>
        <w:widowControl w:val="1"/>
      </w:pPr>
      <w:r>
        <w:t xml:space="preserve">Mapa de calor: IGM vs G1–G5 por sector/segmento.  </w:t>
      </w:r>
    </w:p>
    <w:p>
      <w:pPr>
        <w:pStyle w:val="ListBullet"/>
        <w:keepLines w:val="1"/>
        <w:keepNext w:val="1"/>
        <w:widowControl w:val="1"/>
      </w:pPr>
      <w:r>
        <w:t xml:space="preserve">Identificación de trayectorias de mejora:  </w:t>
      </w:r>
    </w:p>
    <w:p>
      <w:pPr>
        <w:pStyle w:val="ListBullet"/>
        <w:keepLines w:val="1"/>
        <w:widowControl w:val="1"/>
      </w:pPr>
      <w:r>
        <w:t>“Sector X: fuerte en G2, débil en G3” etc.</w:t>
      </w:r>
    </w:p>
    <w:p>
      <w:pPr>
        <w:pStyle w:val="Heading2"/>
        <w:keepNext/>
        <w:keepLines/>
      </w:pPr>
      <w:r>
        <w:rPr>
          <w:color w:val="0066CC"/>
        </w:rPr>
        <w:t>Diapositiva 12 – ROI y decisiones de inversión</w:t>
      </w:r>
    </w:p>
    <w:p>
      <w:pPr>
        <w:pStyle w:val="ListBullet"/>
        <w:keepLines w:val="1"/>
        <w:keepNext w:val="1"/>
        <w:widowControl w:val="1"/>
      </w:pPr>
      <w:r>
        <w:t xml:space="preserve">Gráfico: relación entre IGM y ROI estimado (perdida evitada / coste CRA).  </w:t>
      </w:r>
    </w:p>
    <w:p>
      <w:pPr>
        <w:pStyle w:val="ListBullet"/>
        <w:keepLines w:val="1"/>
        <w:widowControl w:val="1"/>
      </w:pPr>
      <w:r>
        <w:t>Mensaje: la madurez CRA no es un lujo, es una póliza de supervivencia con fundamentos económicos.</w:t>
      </w:r>
    </w:p>
    <w:p>
      <w:pPr>
        <w:pStyle w:val="Heading2"/>
        <w:keepNext/>
        <w:keepLines/>
      </w:pPr>
      <w:r>
        <w:rPr>
          <w:color w:val="0066CC"/>
        </w:rPr>
        <w:t>Diapositiva 13 – Roadmap de métricas</w:t>
      </w:r>
    </w:p>
    <w:p>
      <w:pPr>
        <w:pStyle w:val="ListBullet"/>
        <w:keepLines w:val="1"/>
        <w:keepNext w:val="1"/>
        <w:widowControl w:val="1"/>
      </w:pPr>
      <w:r>
        <w:t xml:space="preserve">Fases:  </w:t>
      </w:r>
    </w:p>
    <w:p>
      <w:pPr>
        <w:pStyle w:val="ListBullet"/>
        <w:keepLines w:val="1"/>
        <w:keepNext w:val="1"/>
        <w:widowControl w:val="1"/>
      </w:pPr>
      <w:r>
        <w:t xml:space="preserve">Fase 1: métricas core (M4.1, M5.1, M6.1, M7.1, M9.1, M10.1).  </w:t>
      </w:r>
    </w:p>
    <w:p>
      <w:pPr>
        <w:pStyle w:val="ListBullet"/>
        <w:keepLines w:val="1"/>
        <w:keepNext w:val="1"/>
        <w:widowControl w:val="1"/>
      </w:pPr>
      <w:r>
        <w:t xml:space="preserve">Fase 2: métricas estructurales y de talento (M2.1, M3.1, M18.x).  </w:t>
      </w:r>
    </w:p>
    <w:p>
      <w:pPr>
        <w:pStyle w:val="ListBullet"/>
        <w:keepLines w:val="1"/>
        <w:keepNext w:val="1"/>
        <w:widowControl w:val="1"/>
      </w:pPr>
      <w:r>
        <w:t xml:space="preserve">Fase 3: métricas macroeconómicas (M13.x, M14.x).  </w:t>
      </w:r>
    </w:p>
    <w:p>
      <w:pPr>
        <w:pStyle w:val="ListBullet"/>
        <w:keepLines w:val="1"/>
        <w:widowControl w:val="1"/>
      </w:pPr>
      <w:r>
        <w:t>Nota: revisión anual basada en PRAGMATIC y experiencia operativa.</w:t>
      </w:r>
    </w:p>
    <w:p>
      <w:pPr>
        <w:pStyle w:val="Heading2"/>
        <w:keepNext/>
        <w:keepLines/>
      </w:pPr>
      <w:r>
        <w:rPr>
          <w:color w:val="0066CC"/>
        </w:rPr>
        <w:t>Diapositiva 14 – Conclusiones y próximos pasos</w:t>
      </w:r>
    </w:p>
    <w:p>
      <w:pPr>
        <w:pStyle w:val="ListBullet"/>
        <w:keepLines w:val="1"/>
        <w:keepNext w:val="1"/>
        <w:widowControl w:val="1"/>
      </w:pPr>
      <w:r>
        <w:t xml:space="preserve">Resumen de:  </w:t>
      </w:r>
    </w:p>
    <w:p>
      <w:pPr>
        <w:pStyle w:val="ListBullet"/>
        <w:keepLines w:val="1"/>
        <w:keepNext w:val="1"/>
        <w:widowControl w:val="1"/>
      </w:pPr>
      <w:r>
        <w:t xml:space="preserve">Qué se ha medido.  </w:t>
      </w:r>
    </w:p>
    <w:p>
      <w:pPr>
        <w:pStyle w:val="ListBullet"/>
        <w:keepLines w:val="1"/>
        <w:keepNext w:val="1"/>
        <w:widowControl w:val="1"/>
      </w:pPr>
      <w:r>
        <w:t xml:space="preserve">Qué se ha aprendido.  </w:t>
      </w:r>
    </w:p>
    <w:p>
      <w:pPr>
        <w:pStyle w:val="ListBullet"/>
        <w:keepLines w:val="1"/>
        <w:widowControl w:val="1"/>
      </w:pPr>
      <w:r>
        <w:t>Qué se propone hacer: mejoras de gobernanza, programas de apoyo, cambios regulatorios, etc.</w:t>
      </w:r>
    </w:p>
    <w:p>
      <w:pPr>
        <w:pStyle w:val="Heading2"/>
        <w:keepNext/>
        <w:keepLines/>
      </w:pPr>
      <w:r>
        <w:rPr>
          <w:color w:val="0066CC"/>
        </w:rPr>
        <w:t>Diapositiva 15 – Epílogo</w:t>
      </w:r>
    </w:p>
    <w:p>
      <w:pPr>
        <w:pStyle w:val="ListBullet"/>
        <w:keepLines w:val="1"/>
        <w:keepNext w:val="1"/>
        <w:widowControl w:val="1"/>
      </w:pPr>
      <w:r>
        <w:t xml:space="preserve">Una frase final que recuerde que, en ciberresiliencia, la alternativa a medir no es la tranquilidad, sino la ceguera.  </w:t>
      </w:r>
    </w:p>
    <w:p>
      <w:pPr>
        <w:pStyle w:val="ListBullet"/>
        <w:keepLines w:val="1"/>
        <w:widowControl w:val="1"/>
      </w:pPr>
      <w:r>
        <w:t>Enlace al kit metodológico y contacto.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