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 (PowerPoint) CRA</w:t>
      </w:r>
    </w:p>
    <w:p>
      <w:r>
        <w:t>Guion para estructurar una presentación ejecutiva de resultados de la encuesta CRA.</w:t>
      </w:r>
    </w:p>
    <w:p>
      <w:pPr>
        <w:pStyle w:val="Heading2"/>
        <w:keepNext/>
        <w:keepLines/>
      </w:pPr>
      <w:r>
        <w:rPr>
          <w:color w:val="0066CC"/>
        </w:rPr>
        <w:t>Diapositiva 1 – Portada</w:t>
      </w:r>
    </w:p>
    <w:p>
      <w:pPr>
        <w:pStyle w:val="ListBullet"/>
        <w:keepLines w:val="1"/>
        <w:keepNext w:val="1"/>
        <w:widowControl w:val="1"/>
      </w:pPr>
      <w:r>
        <w:t xml:space="preserve">Título: “Preparación y Métricas CRA – Resultados de la Encuesta”  </w:t>
      </w:r>
    </w:p>
    <w:p>
      <w:pPr>
        <w:pStyle w:val="ListBullet"/>
        <w:keepLines w:val="1"/>
        <w:keepNext w:val="1"/>
        <w:widowControl w:val="1"/>
      </w:pPr>
      <w:r>
        <w:t xml:space="preserve">Subtítulo: Sector / País / Organización (según aplique)  </w:t>
      </w:r>
    </w:p>
    <w:p>
      <w:pPr>
        <w:pStyle w:val="ListBullet"/>
        <w:keepLines w:val="1"/>
        <w:widowControl w:val="1"/>
      </w:pPr>
      <w:r>
        <w:t>Fecha y logotipos relevantes.</w:t>
      </w:r>
    </w:p>
    <w:p>
      <w:pPr>
        <w:pStyle w:val="Heading2"/>
        <w:keepNext/>
        <w:keepLines/>
      </w:pPr>
      <w:r>
        <w:rPr>
          <w:color w:val="0066CC"/>
        </w:rPr>
        <w:t>Diapositiva 2 – Contexto y objetivo</w:t>
      </w:r>
    </w:p>
    <w:p>
      <w:pPr>
        <w:pStyle w:val="ListBullet"/>
        <w:keepLines w:val="1"/>
        <w:keepNext w:val="1"/>
        <w:widowControl w:val="1"/>
      </w:pPr>
      <w:r>
        <w:t xml:space="preserve">Breve recordatorio de qué es el CRA y por qué nos afecta.  </w:t>
      </w:r>
    </w:p>
    <w:p>
      <w:pPr>
        <w:pStyle w:val="ListBullet"/>
        <w:keepLines w:val="1"/>
        <w:keepNext w:val="1"/>
        <w:widowControl w:val="1"/>
      </w:pPr>
      <w:r>
        <w:t xml:space="preserve">Objetivo de la encuesta: medir madurez, identificar brechas, orientar decisiones.  </w:t>
      </w:r>
    </w:p>
    <w:p>
      <w:pPr>
        <w:pStyle w:val="ListBullet"/>
        <w:keepLines w:val="1"/>
        <w:widowControl w:val="1"/>
      </w:pPr>
      <w:r>
        <w:t>Alcance: nº de organizaciones, sectores, tamaño.</w:t>
      </w:r>
    </w:p>
    <w:p>
      <w:pPr>
        <w:pStyle w:val="Heading2"/>
        <w:keepNext/>
        <w:keepLines/>
      </w:pPr>
      <w:r>
        <w:rPr>
          <w:color w:val="0066CC"/>
        </w:rPr>
        <w:t>Diapositiva 3 – Metodología</w:t>
      </w:r>
    </w:p>
    <w:p>
      <w:pPr>
        <w:pStyle w:val="ListBullet"/>
        <w:keepLines w:val="1"/>
        <w:keepNext w:val="1"/>
        <w:widowControl w:val="1"/>
      </w:pPr>
      <w:r>
        <w:t xml:space="preserve">Población y muestra.  </w:t>
      </w:r>
    </w:p>
    <w:p>
      <w:pPr>
        <w:pStyle w:val="ListBullet"/>
        <w:keepLines w:val="1"/>
        <w:keepNext w:val="1"/>
        <w:widowControl w:val="1"/>
      </w:pPr>
      <w:r>
        <w:t xml:space="preserve">Estructura del cuestionario.  </w:t>
      </w:r>
    </w:p>
    <w:p>
      <w:pPr>
        <w:pStyle w:val="ListBullet"/>
        <w:keepLines w:val="1"/>
        <w:keepNext w:val="1"/>
        <w:widowControl w:val="1"/>
      </w:pPr>
      <w:r>
        <w:t xml:space="preserve">Cálculo del IGM y dimensiones.  </w:t>
      </w:r>
    </w:p>
    <w:p>
      <w:pPr>
        <w:pStyle w:val="ListBullet"/>
        <w:keepLines w:val="1"/>
        <w:widowControl w:val="1"/>
      </w:pPr>
      <w:r>
        <w:t>Nota sobre limitaciones y margen de interpretación (sin arruinar el ánimo).</w:t>
      </w:r>
    </w:p>
    <w:p>
      <w:pPr>
        <w:pStyle w:val="Heading2"/>
        <w:keepNext/>
        <w:keepLines/>
      </w:pPr>
      <w:r>
        <w:rPr>
          <w:color w:val="0066CC"/>
        </w:rPr>
        <w:t>Diapositiva 4 – IGM global</w:t>
      </w:r>
    </w:p>
    <w:p>
      <w:pPr>
        <w:pStyle w:val="ListBullet"/>
        <w:keepLines w:val="1"/>
        <w:keepNext w:val="1"/>
        <w:widowControl w:val="1"/>
      </w:pPr>
      <w:r>
        <w:t xml:space="preserve">Gráfico: distribución del Índice Global de Madurez (histograma o boxplot).  </w:t>
      </w:r>
    </w:p>
    <w:p>
      <w:pPr>
        <w:pStyle w:val="ListBullet"/>
        <w:keepLines w:val="1"/>
        <w:keepNext w:val="1"/>
        <w:widowControl w:val="1"/>
      </w:pPr>
      <w:r>
        <w:t xml:space="preserve">Comentario: posición media, rango, dispersión.  </w:t>
      </w:r>
    </w:p>
    <w:p>
      <w:pPr>
        <w:pStyle w:val="ListBullet"/>
        <w:keepLines w:val="1"/>
        <w:widowControl w:val="1"/>
      </w:pPr>
      <w:r>
        <w:t>Mensaje clave: “dónde estamos” en términos de madurez CRA.</w:t>
      </w:r>
    </w:p>
    <w:p>
      <w:pPr>
        <w:pStyle w:val="Heading2"/>
        <w:keepNext/>
        <w:keepLines/>
      </w:pPr>
      <w:r>
        <w:rPr>
          <w:color w:val="0066CC"/>
        </w:rPr>
        <w:t>Diapositiva 5 – Madurez por dimensión</w:t>
      </w:r>
    </w:p>
    <w:p>
      <w:pPr>
        <w:pStyle w:val="ListBullet"/>
        <w:keepLines w:val="1"/>
        <w:keepNext w:val="1"/>
        <w:widowControl w:val="1"/>
      </w:pPr>
      <w:r>
        <w:t xml:space="preserve">Gráfico: barras comparando GOV, COV, VULN, DATA, CAP.  </w:t>
      </w:r>
    </w:p>
    <w:p>
      <w:pPr>
        <w:pStyle w:val="ListBullet"/>
        <w:keepLines w:val="1"/>
        <w:keepNext w:val="1"/>
        <w:widowControl w:val="1"/>
      </w:pPr>
      <w:r>
        <w:t xml:space="preserve">Ideas fuerza: qué dimensiones tiran hacia arriba y cuáles hacia abajo.  </w:t>
      </w:r>
    </w:p>
    <w:p>
      <w:pPr>
        <w:pStyle w:val="ListBullet"/>
        <w:keepLines w:val="1"/>
        <w:widowControl w:val="1"/>
      </w:pPr>
      <w:r>
        <w:t>Sugerencias iniciales de foco.</w:t>
      </w:r>
    </w:p>
    <w:p>
      <w:pPr>
        <w:pStyle w:val="Heading2"/>
        <w:keepNext/>
        <w:keepLines/>
      </w:pPr>
      <w:r>
        <w:rPr>
          <w:color w:val="0066CC"/>
        </w:rPr>
        <w:t>Diapositiva 6 – Comparativa por segmento</w:t>
      </w:r>
    </w:p>
    <w:p>
      <w:pPr>
        <w:pStyle w:val="ListBullet"/>
        <w:keepLines w:val="1"/>
        <w:keepNext w:val="1"/>
        <w:widowControl w:val="1"/>
      </w:pPr>
      <w:r>
        <w:t xml:space="preserve">Gráfico: comparación de IGM por sector o tipo de organización.  </w:t>
      </w:r>
    </w:p>
    <w:p>
      <w:pPr>
        <w:pStyle w:val="ListBullet"/>
        <w:keepLines w:val="1"/>
        <w:keepNext w:val="1"/>
        <w:widowControl w:val="1"/>
      </w:pPr>
      <w:r>
        <w:t xml:space="preserve">Señalar diferencias significativas (sin linchar a nadie en público).  </w:t>
      </w:r>
    </w:p>
    <w:p>
      <w:pPr>
        <w:pStyle w:val="ListBullet"/>
        <w:keepLines w:val="1"/>
        <w:widowControl w:val="1"/>
      </w:pPr>
      <w:r>
        <w:t>Preguntas abiertas: ¿a qué se deben esas diferencias?</w:t>
      </w:r>
    </w:p>
    <w:p>
      <w:pPr>
        <w:pStyle w:val="Heading2"/>
        <w:keepNext/>
        <w:keepLines/>
      </w:pPr>
      <w:r>
        <w:rPr>
          <w:color w:val="0066CC"/>
        </w:rPr>
        <w:t>Diapositiva 7 – Vulnerabilidades e incidentes</w:t>
      </w:r>
    </w:p>
    <w:p>
      <w:pPr>
        <w:pStyle w:val="ListBullet"/>
        <w:keepLines w:val="1"/>
        <w:keepNext w:val="1"/>
        <w:widowControl w:val="1"/>
      </w:pPr>
      <w:r>
        <w:t xml:space="preserve">Indicadores: TTP, tasa de parches en plazo, medición de MTTD/MTTR.  </w:t>
      </w:r>
    </w:p>
    <w:p>
      <w:pPr>
        <w:pStyle w:val="ListBullet"/>
        <w:keepLines w:val="1"/>
        <w:keepNext w:val="1"/>
        <w:widowControl w:val="1"/>
      </w:pPr>
      <w:r>
        <w:t xml:space="preserve">Gráfico: barras o líneas con valores medios y mejores/peores casos.  </w:t>
      </w:r>
    </w:p>
    <w:p>
      <w:pPr>
        <w:pStyle w:val="ListBullet"/>
        <w:keepLines w:val="1"/>
        <w:widowControl w:val="1"/>
      </w:pPr>
      <w:r>
        <w:t>Mensaje: nivel de preparación real frente a vulnerabilidades e incidentes.</w:t>
      </w:r>
    </w:p>
    <w:p>
      <w:pPr>
        <w:pStyle w:val="Heading2"/>
        <w:keepNext/>
        <w:keepLines/>
      </w:pPr>
      <w:r>
        <w:rPr>
          <w:color w:val="0066CC"/>
        </w:rPr>
        <w:t>Diapositiva 8 – Métricas y reporting</w:t>
      </w:r>
    </w:p>
    <w:p>
      <w:pPr>
        <w:pStyle w:val="ListBullet"/>
        <w:keepLines w:val="1"/>
        <w:keepNext w:val="1"/>
        <w:widowControl w:val="1"/>
      </w:pPr>
      <w:r>
        <w:t xml:space="preserve">Porcentaje de organizaciones con cuadro de mando CRA.  </w:t>
      </w:r>
    </w:p>
    <w:p>
      <w:pPr>
        <w:pStyle w:val="ListBullet"/>
        <w:keepLines w:val="1"/>
        <w:keepNext w:val="1"/>
        <w:widowControl w:val="1"/>
      </w:pPr>
      <w:r>
        <w:t xml:space="preserve">Frecuencia de reporting a la alta dirección.  </w:t>
      </w:r>
    </w:p>
    <w:p>
      <w:pPr>
        <w:pStyle w:val="ListBullet"/>
        <w:keepLines w:val="1"/>
        <w:keepNext w:val="1"/>
        <w:widowControl w:val="1"/>
      </w:pPr>
      <w:r>
        <w:t xml:space="preserve">Uso de indicadores clave (número de productos conformes, incidentes, pérdidas, etc.).  </w:t>
      </w:r>
    </w:p>
    <w:p>
      <w:pPr>
        <w:pStyle w:val="ListBullet"/>
        <w:keepLines w:val="1"/>
        <w:widowControl w:val="1"/>
      </w:pPr>
      <w:r>
        <w:t>Breve reflexión sobre “lo que no se mide, no mejora”.</w:t>
      </w:r>
    </w:p>
    <w:p>
      <w:pPr>
        <w:pStyle w:val="Heading2"/>
        <w:keepNext/>
        <w:keepLines/>
      </w:pPr>
      <w:r>
        <w:rPr>
          <w:color w:val="0066CC"/>
        </w:rPr>
        <w:t>Diapositiva 9 – Capacidades y cultura</w:t>
      </w:r>
    </w:p>
    <w:p>
      <w:pPr>
        <w:pStyle w:val="ListBullet"/>
        <w:keepLines w:val="1"/>
        <w:keepNext w:val="1"/>
        <w:widowControl w:val="1"/>
      </w:pPr>
      <w:r>
        <w:t xml:space="preserve">Recursos disponibles, formación, actitud de la alta dirección.  </w:t>
      </w:r>
    </w:p>
    <w:p>
      <w:pPr>
        <w:pStyle w:val="ListBullet"/>
        <w:keepLines w:val="1"/>
        <w:keepNext w:val="1"/>
        <w:widowControl w:val="1"/>
      </w:pPr>
      <w:r>
        <w:t xml:space="preserve">Gráfico: radar o barras apiladas.  </w:t>
      </w:r>
    </w:p>
    <w:p>
      <w:pPr>
        <w:pStyle w:val="ListBullet"/>
        <w:keepLines w:val="1"/>
        <w:widowControl w:val="1"/>
      </w:pPr>
      <w:r>
        <w:t>Conclusión: ¿el problema es técnico, de recursos, de cultura, o de todo a la vez?</w:t>
      </w:r>
    </w:p>
    <w:p>
      <w:pPr>
        <w:pStyle w:val="Heading2"/>
        <w:keepNext/>
        <w:keepLines/>
      </w:pPr>
      <w:r>
        <w:rPr>
          <w:color w:val="0066CC"/>
        </w:rPr>
        <w:t>Diapositiva 10 – Impacto económico y ROI</w:t>
      </w:r>
    </w:p>
    <w:p>
      <w:pPr>
        <w:pStyle w:val="ListBullet"/>
        <w:keepLines w:val="1"/>
        <w:keepNext w:val="1"/>
        <w:widowControl w:val="1"/>
      </w:pPr>
      <w:r>
        <w:t xml:space="preserve">Rangos de presupuesto en ciberseguridad y CRA.  </w:t>
      </w:r>
    </w:p>
    <w:p>
      <w:pPr>
        <w:pStyle w:val="ListBullet"/>
        <w:keepLines w:val="1"/>
        <w:keepNext w:val="1"/>
        <w:widowControl w:val="1"/>
      </w:pPr>
      <w:r>
        <w:t xml:space="preserve">Estimaciones de impacto económico de incidentes evitables.  </w:t>
      </w:r>
    </w:p>
    <w:p>
      <w:pPr>
        <w:pStyle w:val="ListBullet"/>
        <w:keepLines w:val="1"/>
        <w:keepNext w:val="1"/>
        <w:widowControl w:val="1"/>
      </w:pPr>
      <w:r>
        <w:t xml:space="preserve">Ratios de ROI aproximados.  </w:t>
      </w:r>
    </w:p>
    <w:p>
      <w:pPr>
        <w:pStyle w:val="ListBullet"/>
        <w:keepLines w:val="1"/>
        <w:widowControl w:val="1"/>
      </w:pPr>
      <w:r>
        <w:t>Mensaje: inversión vs. pérdida evitada.</w:t>
      </w:r>
    </w:p>
    <w:p>
      <w:pPr>
        <w:pStyle w:val="Heading2"/>
        <w:keepNext/>
        <w:keepLines/>
      </w:pPr>
      <w:r>
        <w:rPr>
          <w:color w:val="0066CC"/>
        </w:rPr>
        <w:t>Diapositiva 11 – Principales retos y necesidades</w:t>
      </w:r>
    </w:p>
    <w:p>
      <w:pPr>
        <w:pStyle w:val="ListBullet"/>
        <w:keepLines w:val="1"/>
        <w:keepNext w:val="1"/>
        <w:widowControl w:val="1"/>
      </w:pPr>
      <w:r>
        <w:t xml:space="preserve">Top 3–5 retos (gráfico de barras).  </w:t>
      </w:r>
    </w:p>
    <w:p>
      <w:pPr>
        <w:pStyle w:val="ListBullet"/>
        <w:keepLines w:val="1"/>
        <w:keepNext w:val="1"/>
        <w:widowControl w:val="1"/>
      </w:pPr>
      <w:r>
        <w:t xml:space="preserve">Tipos de apoyo externo preferidos.  </w:t>
      </w:r>
    </w:p>
    <w:p>
      <w:pPr>
        <w:pStyle w:val="ListBullet"/>
        <w:keepLines w:val="1"/>
        <w:widowControl w:val="1"/>
      </w:pPr>
      <w:r>
        <w:t>Comentario: qué podrían hacer reguladores, asociaciones, proveedores.</w:t>
      </w:r>
    </w:p>
    <w:p>
      <w:pPr>
        <w:pStyle w:val="Heading2"/>
        <w:keepNext/>
        <w:keepLines/>
      </w:pPr>
      <w:r>
        <w:rPr>
          <w:color w:val="0066CC"/>
        </w:rPr>
        <w:t>Diapositiva 12 – Recomendaciones y próximos pasos</w:t>
      </w:r>
    </w:p>
    <w:p>
      <w:pPr>
        <w:pStyle w:val="ListBullet"/>
        <w:keepLines w:val="1"/>
        <w:keepNext w:val="1"/>
        <w:widowControl w:val="1"/>
      </w:pPr>
      <w:r>
        <w:t xml:space="preserve">3–5 recomendaciones priorizadas (gobernanza, producto, vulnerabilidades, métricas, capacidades).  </w:t>
      </w:r>
    </w:p>
    <w:p>
      <w:pPr>
        <w:pStyle w:val="ListBullet"/>
        <w:keepLines w:val="1"/>
        <w:keepNext w:val="1"/>
        <w:widowControl w:val="1"/>
      </w:pPr>
      <w:r>
        <w:t xml:space="preserve">Propuestas de hoja de ruta a 12–24 meses.  </w:t>
      </w:r>
    </w:p>
    <w:p>
      <w:pPr>
        <w:pStyle w:val="ListBullet"/>
        <w:keepLines w:val="1"/>
        <w:widowControl w:val="1"/>
      </w:pPr>
      <w:r>
        <w:t>Opciones de seguimiento: repetir encuesta, profundizar por sector, ejercicios de simulación.</w:t>
      </w:r>
    </w:p>
    <w:p>
      <w:pPr>
        <w:pStyle w:val="Heading2"/>
        <w:keepNext/>
        <w:keepLines/>
      </w:pPr>
      <w:r>
        <w:rPr>
          <w:color w:val="0066CC"/>
        </w:rPr>
        <w:t>Diapositiva 13 – Epílogo</w:t>
      </w:r>
    </w:p>
    <w:p>
      <w:pPr>
        <w:pStyle w:val="ListBullet"/>
        <w:keepLines w:val="1"/>
        <w:keepNext w:val="1"/>
        <w:widowControl w:val="1"/>
      </w:pPr>
      <w:r>
        <w:t xml:space="preserve">Frase de cierre, preferiblemente menos apocalíptica que “nadie está seguro”.  </w:t>
      </w:r>
    </w:p>
    <w:p>
      <w:pPr>
        <w:pStyle w:val="ListBullet"/>
        <w:keepLines w:val="1"/>
        <w:keepNext w:val="1"/>
        <w:widowControl w:val="1"/>
      </w:pPr>
      <w:r>
        <w:t xml:space="preserve">Invitación a seguir trabajando en el tema.  </w:t>
      </w:r>
    </w:p>
    <w:p>
      <w:pPr>
        <w:pStyle w:val="ListBullet"/>
        <w:keepLines w:val="1"/>
        <w:widowControl w:val="1"/>
      </w:pPr>
      <w:r>
        <w:t>Contactos o enlaces a recursos adicionales.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