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CRA</w:t>
      </w:r>
    </w:p>
    <w:p>
      <w:r>
        <w:t>Bienvenido/a al segundo piso del edificio: si el primer kit se centraba en el “qué” medimos, este se ocupa del “por qué” y del “cómo” en términos de objetivos y calidad de métricas.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Number"/>
        <w:keepLines w:val="1"/>
        <w:keepNext w:val="1"/>
        <w:widowControl w:val="1"/>
      </w:pPr>
      <w:r>
        <w:t xml:space="preserve">CRA_GQM_PRAGMATIC_MarcoIntegrativo.md </w:t>
      </w:r>
    </w:p>
    <w:p>
      <w:pPr>
        <w:pStyle w:val="ListNumber"/>
        <w:keepLines w:val="1"/>
        <w:keepNext w:val="1"/>
        <w:widowControl w:val="1"/>
      </w:pPr>
      <w:r>
        <w:br/>
        <w:t>Describe los objetivos GQM, las preguntas asociadas y los indicadores CRA resultantes.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CRA_GQM_PRAGMATIC_MatrizEvaluacionCompleta.md </w:t>
        <w:br/>
      </w:r>
    </w:p>
    <w:p>
      <w:pPr>
        <w:pStyle w:val="ListNumber"/>
        <w:keepLines w:val="1"/>
        <w:keepNext w:val="1"/>
        <w:widowControl w:val="1"/>
      </w:pPr>
      <w:r>
        <w:br/>
        <w:t>Tabla con la valoración PRAGMATIC (1–5) de cada métrica propuesta.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CRA_GQM_PRAGMATIC_NarrativaExplicativa.md </w:t>
        <w:br/>
      </w:r>
    </w:p>
    <w:p>
      <w:pPr>
        <w:pStyle w:val="ListNumber"/>
        <w:keepLines w:val="1"/>
        <w:keepNext w:val="1"/>
        <w:widowControl w:val="1"/>
      </w:pPr>
      <w:r>
        <w:br/>
        <w:t>Ensayo razonado sobre la lógica y el uso de GQM+PRAGMATIC en el contexto CRA.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CRA_GQM_PRAGMATIC_MapeoPreguntas_Requisitos.md </w:t>
        <w:br/>
      </w:r>
    </w:p>
    <w:p>
      <w:pPr>
        <w:pStyle w:val="ListNumber"/>
        <w:keepLines w:val="1"/>
        <w:keepNext w:val="1"/>
        <w:widowControl w:val="1"/>
      </w:pPr>
      <w:r>
        <w:br/>
        <w:t>Extiende el mapeo entre preguntas de encuesta, requisitos CRA/NIS2 y objetivos GQM.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CRA_GQM_PRAGMATIC_PlantillaExcel_IGM_ROI.md </w:t>
        <w:br/>
      </w:r>
    </w:p>
    <w:p>
      <w:pPr>
        <w:pStyle w:val="ListNumber"/>
        <w:keepLines w:val="1"/>
        <w:keepNext w:val="1"/>
        <w:widowControl w:val="1"/>
      </w:pPr>
      <w:r>
        <w:br/>
        <w:t>Especificaciones para construir en Excel un modelo de IGM y ROI que incorpore GQM.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CRA_GQM_PRAGMATIC_PlantillaReporteEjecutivo_PPT.md </w:t>
        <w:br/>
      </w:r>
    </w:p>
    <w:p>
      <w:pPr>
        <w:pStyle w:val="ListNumber"/>
        <w:keepLines w:val="1"/>
        <w:keepNext w:val="1"/>
        <w:widowControl w:val="1"/>
      </w:pPr>
      <w:r>
        <w:br/>
        <w:t>Guion para presentar resultados a nivel directivo, con foco en objetivos y métricas clave.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CRA_GQM_PRAGMATIC_README_Kit.md </w:t>
        <w:br/>
      </w:r>
    </w:p>
    <w:p>
      <w:pPr>
        <w:pStyle w:val="ListNumber"/>
        <w:keepLines w:val="1"/>
        <w:widowControl w:val="1"/>
      </w:pPr>
      <w:r>
        <w:t>Este mismo documento.</w:t>
      </w:r>
    </w:p>
    <w:p>
      <w:r>
        <w:t>Describe los objetivos GQM, las preguntas asociadas y los indicadores CRA resultantes.</w:t>
      </w:r>
    </w:p>
    <w:p>
      <w:r>
        <w:rPr>
          <w:rFonts w:ascii="Courier New" w:hAnsi="Courier New"/>
          <w:sz w:val="18"/>
        </w:rPr>
        <w:t>CRA_GQM_PRAGMATIC_MatrizEvaluacionCompleta.md</w:t>
      </w:r>
      <w:r>
        <w:t xml:space="preserve"> </w:t>
      </w:r>
    </w:p>
    <w:p>
      <w:r>
        <w:t>Tabla con la valoración PRAGMATIC (1–5) de cada métrica propuesta.</w:t>
      </w:r>
    </w:p>
    <w:p>
      <w:r>
        <w:rPr>
          <w:rFonts w:ascii="Courier New" w:hAnsi="Courier New"/>
          <w:sz w:val="18"/>
        </w:rPr>
        <w:t>CRA_GQM_PRAGMATIC_NarrativaExplicativa.md</w:t>
      </w:r>
      <w:r>
        <w:t xml:space="preserve"> </w:t>
      </w:r>
    </w:p>
    <w:p>
      <w:r>
        <w:t>Ensayo razonado sobre la lógica y el uso de GQM+PRAGMATIC en el contexto CRA.</w:t>
      </w:r>
    </w:p>
    <w:p>
      <w:r>
        <w:rPr>
          <w:rFonts w:ascii="Courier New" w:hAnsi="Courier New"/>
          <w:sz w:val="18"/>
        </w:rPr>
        <w:t>CRA_GQM_PRAGMATIC_MapeoPreguntas_Requisitos.md</w:t>
      </w:r>
      <w:r>
        <w:t xml:space="preserve"> </w:t>
      </w:r>
    </w:p>
    <w:p>
      <w:r>
        <w:t>Extiende el mapeo entre preguntas de encuesta, requisitos CRA/NIS2 y objetivos GQM.</w:t>
      </w:r>
    </w:p>
    <w:p>
      <w:r>
        <w:rPr>
          <w:rFonts w:ascii="Courier New" w:hAnsi="Courier New"/>
          <w:sz w:val="18"/>
        </w:rPr>
        <w:t>CRA_GQM_PRAGMATIC_PlantillaExcel_IGM_ROI.md</w:t>
      </w:r>
      <w:r>
        <w:t xml:space="preserve"> </w:t>
      </w:r>
    </w:p>
    <w:p>
      <w:r>
        <w:t>Especificaciones para construir en Excel un modelo de IGM y ROI que incorpore GQM.</w:t>
      </w:r>
    </w:p>
    <w:p>
      <w:r>
        <w:rPr>
          <w:rFonts w:ascii="Courier New" w:hAnsi="Courier New"/>
          <w:sz w:val="18"/>
        </w:rPr>
        <w:t>CRA_GQM_PRAGMATIC_PlantillaReporteEjecutivo_PPT.md</w:t>
      </w:r>
      <w:r>
        <w:t xml:space="preserve"> </w:t>
      </w:r>
    </w:p>
    <w:p>
      <w:r>
        <w:t>Guion para presentar resultados a nivel directivo, con foco en objetivos y métricas clave.</w:t>
      </w:r>
    </w:p>
    <w:p>
      <w:r>
        <w:rPr>
          <w:rFonts w:ascii="Courier New" w:hAnsi="Courier New"/>
          <w:sz w:val="18"/>
        </w:rPr>
        <w:t>CRA_GQM_PRAGMATIC_README_Kit.md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2. Cómo usarlo junto con el kit de encuesta CRA</w:t>
      </w:r>
    </w:p>
    <w:p>
      <w:pPr>
        <w:pStyle w:val="ListNumber"/>
        <w:keepLines w:val="1"/>
        <w:keepNext w:val="1"/>
        <w:widowControl w:val="1"/>
      </w:pPr>
      <w:r>
        <w:br/>
        <w:t>Diseño y despliegue de encuesta:</w:t>
        <w:br/>
        <w:t xml:space="preserve">   Utilice el ModeloIntegral del primer kit para recoger datos organizativos.</w:t>
        <w:br/>
      </w:r>
    </w:p>
    <w:p>
      <w:pPr>
        <w:pStyle w:val="ListNumber"/>
        <w:keepLines w:val="1"/>
        <w:keepNext w:val="1"/>
        <w:widowControl w:val="1"/>
      </w:pPr>
      <w:r>
        <w:br/>
        <w:t>Codificación y cálculo:</w:t>
        <w:br/>
        <w:t xml:space="preserve">   Implemente en Excel las plantillas de IGM/ROI, ampliando ahora con la hoja Mapeo_GQM descrita en este kit.</w:t>
        <w:br/>
      </w:r>
    </w:p>
    <w:p>
      <w:pPr>
        <w:pStyle w:val="ListNumber"/>
        <w:keepLines w:val="1"/>
        <w:keepNext w:val="1"/>
        <w:widowControl w:val="1"/>
      </w:pPr>
      <w:r>
        <w:br/>
        <w:t>Selección de métricas nacionales:</w:t>
        <w:br/>
        <w:t xml:space="preserve">   Basándose en la MatrizEvaluacionCompleta, escoja un subconjunto de métricas con alto valor PRAGMATIC como núcleo de su cuadro de mando nacional o sectorial.</w:t>
        <w:br/>
      </w:r>
    </w:p>
    <w:p>
      <w:pPr>
        <w:pStyle w:val="ListNumber"/>
        <w:keepLines w:val="1"/>
        <w:widowControl w:val="1"/>
      </w:pPr>
      <w:r>
        <w:br/>
        <w:t>Comunicación y gobernanza:</w:t>
        <w:br/>
        <w:t xml:space="preserve">   Utilice la plantilla de PPT para explicar a decisores por qué esas métricas, y no otras, son las protagonistas.</w:t>
        <w:br/>
      </w:r>
    </w:p>
    <w:p>
      <w:r>
        <w:rPr>
          <w:b/>
        </w:rPr>
        <w:t>Diseño y despliegue de encuesta:</w:t>
      </w:r>
      <w:r/>
      <w:r>
        <w:br/>
        <w:t xml:space="preserve">   Utilice el </w:t>
      </w:r>
      <w:r>
        <w:rPr>
          <w:rFonts w:ascii="Courier New" w:hAnsi="Courier New"/>
          <w:sz w:val="18"/>
        </w:rPr>
        <w:t>ModeloIntegral</w:t>
      </w:r>
      <w:r>
        <w:t xml:space="preserve"> del primer kit para recoger datos organizativos.</w:t>
      </w:r>
    </w:p>
    <w:p>
      <w:r>
        <w:rPr>
          <w:b/>
        </w:rPr>
        <w:t>Codificación y cálculo:</w:t>
      </w:r>
      <w:r/>
      <w:r>
        <w:br/>
        <w:t xml:space="preserve">   Implemente en Excel las plantillas de IGM/ROI, ampliando ahora con la hoja </w:t>
      </w:r>
      <w:r>
        <w:rPr>
          <w:rFonts w:ascii="Courier New" w:hAnsi="Courier New"/>
          <w:sz w:val="18"/>
        </w:rPr>
        <w:t>Mapeo_GQM</w:t>
      </w:r>
      <w:r>
        <w:t xml:space="preserve"> descrita en este kit.</w:t>
      </w:r>
    </w:p>
    <w:p>
      <w:r>
        <w:rPr>
          <w:b/>
        </w:rPr>
        <w:t>Selección de métricas nacionales:</w:t>
      </w:r>
      <w:r/>
      <w:r>
        <w:br/>
        <w:t xml:space="preserve">   Basándose en la </w:t>
      </w:r>
      <w:r>
        <w:rPr>
          <w:rFonts w:ascii="Courier New" w:hAnsi="Courier New"/>
          <w:sz w:val="18"/>
        </w:rPr>
        <w:t>MatrizEvaluacionCompleta</w:t>
      </w:r>
      <w:r>
        <w:t>, escoja un subconjunto de métricas con alto valor PRAGMATIC como núcleo de su cuadro de mando nacional o sectorial.</w:t>
      </w:r>
    </w:p>
    <w:p>
      <w:r>
        <w:rPr>
          <w:b/>
        </w:rPr>
        <w:t>Comunicación y gobernanza:</w:t>
      </w:r>
      <w:r/>
      <w:r>
        <w:br/>
        <w:t xml:space="preserve">   Utilice la plantilla de PPT para explicar a decisores por qué esas métricas, y no otras, son las protagonistas.</w:t>
      </w:r>
    </w:p>
    <w:p>
      <w:pPr>
        <w:pStyle w:val="Heading2"/>
        <w:keepNext/>
        <w:keepLines/>
      </w:pPr>
      <w:r>
        <w:rPr>
          <w:color w:val="0066CC"/>
        </w:rPr>
        <w:t>3. Personalización y extensiones</w:t>
      </w:r>
    </w:p>
    <w:p>
      <w:pPr>
        <w:pStyle w:val="ListBullet"/>
        <w:keepLines w:val="1"/>
        <w:keepNext w:val="1"/>
        <w:widowControl w:val="1"/>
      </w:pPr>
      <w:r>
        <w:br/>
        <w:t>Adaptación regulatoria:</w:t>
        <w:br/>
        <w:t xml:space="preserve">  Ajuste el marco a la versión consolidada del CRA, a sus actos de ejecución y a la legislación nacional (por ejemplo, la futura ley de gobernanza de ciberseguridad en España).</w:t>
        <w:br/>
      </w:r>
    </w:p>
    <w:p>
      <w:pPr>
        <w:pStyle w:val="ListBullet"/>
        <w:keepLines w:val="1"/>
        <w:keepNext w:val="1"/>
        <w:widowControl w:val="1"/>
      </w:pPr>
      <w:r>
        <w:br/>
        <w:t>Extensión sectorial:</w:t>
        <w:br/>
        <w:t xml:space="preserve">  Añada objetivos y métricas específicos para sectores con particularidades fuertes (OT, salud, finanzas, etc.), manteniendo la lógica GQM.</w:t>
        <w:br/>
      </w:r>
    </w:p>
    <w:p>
      <w:pPr>
        <w:pStyle w:val="ListBullet"/>
        <w:keepLines w:val="1"/>
        <w:widowControl w:val="1"/>
      </w:pPr>
      <w:r>
        <w:br/>
        <w:t>Revisión PRAGMATIC:</w:t>
        <w:br/>
        <w:t xml:space="preserve">  Vuelva a puntuar métricas cada 2–3 años, o cuando cambien significativamente las fuentes de datos, la tecnología o las prioridades políticas.</w:t>
        <w:br/>
      </w:r>
    </w:p>
    <w:p>
      <w:r>
        <w:rPr>
          <w:b/>
        </w:rPr>
        <w:t>Adaptación regulatoria:</w:t>
      </w:r>
      <w:r/>
      <w:r>
        <w:br/>
        <w:t xml:space="preserve">  Ajuste el marco a la versión consolidada del CRA, a sus actos de ejecución y a la legislación nacional (por ejemplo, la futura ley de gobernanza de ciberseguridad en España).</w:t>
      </w:r>
    </w:p>
    <w:p>
      <w:r>
        <w:rPr>
          <w:b/>
        </w:rPr>
        <w:t>Extensión sectorial:</w:t>
      </w:r>
      <w:r/>
      <w:r>
        <w:br/>
        <w:t xml:space="preserve">  Añada objetivos y métricas específicos para sectores con particularidades fuertes (OT, salud, finanzas, etc.), manteniendo la lógica GQM.</w:t>
      </w:r>
    </w:p>
    <w:p>
      <w:r>
        <w:rPr>
          <w:b/>
        </w:rPr>
        <w:t>Revisión PRAGMATIC:</w:t>
      </w:r>
      <w:r/>
      <w:r>
        <w:br/>
        <w:t xml:space="preserve">  Vuelva a puntuar métricas cada 2–3 años, o cuando cambien significativamente las fuentes de datos, la tecnología o las prioridades políticas.</w:t>
      </w:r>
    </w:p>
    <w:p>
      <w:pPr>
        <w:pStyle w:val="Heading2"/>
        <w:keepNext/>
        <w:keepLines/>
      </w:pPr>
      <w:r>
        <w:rPr>
          <w:color w:val="0066CC"/>
        </w:rPr>
        <w:t>4. Limitaciones y sanidad mental</w:t>
      </w:r>
    </w:p>
    <w:p>
      <w:r>
        <w:t>Este kit no pretende ser un marco universal y eterno. Es una propuesta razonada para un momento concreto, en un contexto regulatorio específico. No sustituye:</w:t>
      </w:r>
    </w:p>
    <w:p>
      <w:pPr>
        <w:pStyle w:val="ListBullet"/>
        <w:keepLines w:val="1"/>
        <w:keepNext w:val="1"/>
        <w:widowControl w:val="1"/>
      </w:pPr>
      <w:r>
        <w:t xml:space="preserve">Ni al asesoramiento jurídico especializado.  </w:t>
      </w:r>
    </w:p>
    <w:p>
      <w:pPr>
        <w:pStyle w:val="ListBullet"/>
        <w:keepLines w:val="1"/>
        <w:keepNext w:val="1"/>
        <w:widowControl w:val="1"/>
      </w:pPr>
      <w:r>
        <w:t xml:space="preserve">Ni al análisis técnico profundo de arquitecturas, vulnerabilidades y cadenas de suministro.  </w:t>
      </w:r>
    </w:p>
    <w:p>
      <w:pPr>
        <w:pStyle w:val="ListBullet"/>
        <w:keepLines w:val="1"/>
        <w:widowControl w:val="1"/>
      </w:pPr>
      <w:r>
        <w:t>Ni al criterio de quienes tienen que tomar decisiones con consecuencias reales.</w:t>
      </w:r>
    </w:p>
    <w:p>
      <w:r>
        <w:t xml:space="preserve">Si algo debería dejar claro, sin embargo, es que </w:t>
      </w:r>
      <w:r>
        <w:rPr>
          <w:b/>
        </w:rPr>
        <w:t>medir bien es un acto político y técnico a la vez</w:t>
      </w:r>
      <w:r>
        <w:t>: decide qué contamos como éxito, qué consideramos aceptable y qué nos negamos a ignorar.</w:t>
      </w:r>
    </w:p>
    <w:p>
      <w:pPr>
        <w:pStyle w:val="Heading2"/>
        <w:keepNext/>
        <w:keepLines/>
      </w:pPr>
      <w:r>
        <w:rPr>
          <w:color w:val="0066CC"/>
        </w:rPr>
        <w:t>5. Próximos pasos recomendados</w:t>
      </w:r>
    </w:p>
    <w:p>
      <w:pPr>
        <w:pStyle w:val="ListBullet"/>
        <w:keepLines w:val="1"/>
        <w:keepNext w:val="1"/>
        <w:widowControl w:val="1"/>
      </w:pPr>
      <w:r>
        <w:t xml:space="preserve">Pilotar el marco en un sector o región antes de ampliarlo.  </w:t>
      </w:r>
    </w:p>
    <w:p>
      <w:pPr>
        <w:pStyle w:val="ListBullet"/>
        <w:keepLines w:val="1"/>
        <w:keepNext w:val="1"/>
        <w:widowControl w:val="1"/>
      </w:pPr>
      <w:r>
        <w:t xml:space="preserve">Documentar cuidadosamente las dificultades de medición encontradas y ajustar la matriz PRAGMATIC en consecuencia.  </w:t>
      </w:r>
    </w:p>
    <w:p>
      <w:pPr>
        <w:pStyle w:val="ListBullet"/>
        <w:keepLines w:val="1"/>
        <w:widowControl w:val="1"/>
      </w:pPr>
      <w:r>
        <w:t>Compartir resultados (al menos de forma agregada) con las partes interesadas: reguladores, industria, academia, aseguradoras.</w:t>
      </w:r>
    </w:p>
    <w:p>
      <w:r>
        <w:t>Si después de todo esto sigues dispuesto a desplegar indicadores CRA a escala nacional, enhorabuena: el futuro de la ciberresiliencia te debe, como mínimo, un café.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