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README – Kit de Encuesta CRA</w:t>
      </w:r>
    </w:p>
    <w:p>
      <w:r>
        <w:t>Bienvenido/a al Kit de Encuesta sobre Preparación y Métricas CRA. Si ha llegado hasta aquí, probablemente le toque convivir con el Cyber Resilience Act más de lo que le gustaría, así que al menos intentaremos que la experiencia sea ordenada.</w:t>
      </w:r>
    </w:p>
    <w:p>
      <w:pPr>
        <w:pStyle w:val="Heading2"/>
        <w:keepNext/>
        <w:keepLines/>
      </w:pPr>
      <w:r>
        <w:rPr>
          <w:color w:val="0066CC"/>
        </w:rPr>
        <w:t>Contenidos del kit</w:t>
      </w:r>
    </w:p>
    <w:p>
      <w:r>
        <w:t>El kit incluye los siguientes archivos en formato Markdown:</w:t>
      </w:r>
    </w:p>
    <w:p>
      <w:pPr>
        <w:pStyle w:val="ListNumber"/>
        <w:keepLines w:val="1"/>
        <w:keepNext w:val="1"/>
        <w:widowControl w:val="1"/>
      </w:pPr>
      <w:r>
        <w:t xml:space="preserve">CRA_Encuesta_ModeloIntegral.md </w:t>
      </w:r>
    </w:p>
    <w:p>
      <w:pPr>
        <w:pStyle w:val="ListNumber"/>
        <w:keepLines w:val="1"/>
        <w:keepNext w:val="1"/>
        <w:widowControl w:val="1"/>
      </w:pPr>
      <w:r>
        <w:br/>
        <w:t>Cuestionario completo para administración a organizaciones.</w:t>
        <w:br/>
      </w:r>
    </w:p>
    <w:p>
      <w:pPr>
        <w:pStyle w:val="ListNumber"/>
        <w:keepLines w:val="1"/>
        <w:keepNext w:val="1"/>
        <w:widowControl w:val="1"/>
      </w:pPr>
      <w:r>
        <w:br/>
        <w:t xml:space="preserve">CRA_GuiaMetodologica.md </w:t>
        <w:br/>
      </w:r>
    </w:p>
    <w:p>
      <w:pPr>
        <w:pStyle w:val="ListNumber"/>
        <w:keepLines w:val="1"/>
        <w:keepNext w:val="1"/>
        <w:widowControl w:val="1"/>
      </w:pPr>
      <w:r>
        <w:br/>
        <w:t>Descripción del diseño de la encuesta, cálculo de IGM y uso analítico.</w:t>
        <w:br/>
      </w:r>
    </w:p>
    <w:p>
      <w:pPr>
        <w:pStyle w:val="ListNumber"/>
        <w:keepLines w:val="1"/>
        <w:keepNext w:val="1"/>
        <w:widowControl w:val="1"/>
      </w:pPr>
      <w:r>
        <w:br/>
        <w:t xml:space="preserve">CRA_NarrativaExplicativa.md </w:t>
        <w:br/>
      </w:r>
    </w:p>
    <w:p>
      <w:pPr>
        <w:pStyle w:val="ListNumber"/>
        <w:keepLines w:val="1"/>
        <w:keepNext w:val="1"/>
        <w:widowControl w:val="1"/>
      </w:pPr>
      <w:r>
        <w:br/>
        <w:t>Texto introductorio para acompañar la encuesta o los resultados.</w:t>
        <w:br/>
      </w:r>
    </w:p>
    <w:p>
      <w:pPr>
        <w:pStyle w:val="ListNumber"/>
        <w:keepLines w:val="1"/>
        <w:keepNext w:val="1"/>
        <w:widowControl w:val="1"/>
      </w:pPr>
      <w:r>
        <w:br/>
        <w:t xml:space="preserve">CRA_Mapeo_Preguntas_Requisitos.md </w:t>
        <w:br/>
      </w:r>
    </w:p>
    <w:p>
      <w:pPr>
        <w:pStyle w:val="ListNumber"/>
        <w:keepLines w:val="1"/>
        <w:keepNext w:val="1"/>
        <w:widowControl w:val="1"/>
      </w:pPr>
      <w:r>
        <w:br/>
        <w:t>Tabla que vincula cada pregunta con requisitos normativos relevantes.</w:t>
        <w:br/>
      </w:r>
    </w:p>
    <w:p>
      <w:pPr>
        <w:pStyle w:val="ListNumber"/>
        <w:keepLines w:val="1"/>
        <w:keepNext w:val="1"/>
        <w:widowControl w:val="1"/>
      </w:pPr>
      <w:r>
        <w:br/>
        <w:t xml:space="preserve">CRA_Plantilla_Excel_IGM_ROI.md </w:t>
        <w:br/>
      </w:r>
    </w:p>
    <w:p>
      <w:pPr>
        <w:pStyle w:val="ListNumber"/>
        <w:keepLines w:val="1"/>
        <w:keepNext w:val="1"/>
        <w:widowControl w:val="1"/>
      </w:pPr>
      <w:r>
        <w:br/>
        <w:t>Especificaciones para implementar en Excel el cálculo de IGM y ROI.</w:t>
        <w:br/>
      </w:r>
    </w:p>
    <w:p>
      <w:pPr>
        <w:pStyle w:val="ListNumber"/>
        <w:keepLines w:val="1"/>
        <w:keepNext w:val="1"/>
        <w:widowControl w:val="1"/>
      </w:pPr>
      <w:r>
        <w:br/>
        <w:t xml:space="preserve">CRA_Plantilla_ReporteEjecutivo_PPT.md </w:t>
        <w:br/>
      </w:r>
    </w:p>
    <w:p>
      <w:pPr>
        <w:pStyle w:val="ListNumber"/>
        <w:keepLines w:val="1"/>
        <w:keepNext w:val="1"/>
        <w:widowControl w:val="1"/>
      </w:pPr>
      <w:r>
        <w:br/>
        <w:t>Guion para construir presentaciones de resultados orientadas a dirección.</w:t>
        <w:br/>
      </w:r>
    </w:p>
    <w:p>
      <w:pPr>
        <w:pStyle w:val="ListNumber"/>
        <w:keepLines w:val="1"/>
        <w:keepNext w:val="1"/>
        <w:widowControl w:val="1"/>
      </w:pPr>
      <w:r>
        <w:br/>
        <w:t xml:space="preserve">CRA_README_KitEncuesta.md </w:t>
        <w:br/>
      </w:r>
    </w:p>
    <w:p>
      <w:pPr>
        <w:pStyle w:val="ListNumber"/>
        <w:keepLines w:val="1"/>
        <w:widowControl w:val="1"/>
      </w:pPr>
      <w:r>
        <w:t>Este mismo documento.</w:t>
      </w:r>
    </w:p>
    <w:p>
      <w:r>
        <w:t>Cuestionario completo para administración a organizaciones.</w:t>
      </w:r>
    </w:p>
    <w:p>
      <w:r>
        <w:rPr>
          <w:rFonts w:ascii="Courier New" w:hAnsi="Courier New"/>
          <w:sz w:val="18"/>
        </w:rPr>
        <w:t>CRA_GuiaMetodologica.md</w:t>
      </w:r>
      <w:r>
        <w:t xml:space="preserve"> </w:t>
      </w:r>
    </w:p>
    <w:p>
      <w:r>
        <w:t>Descripción del diseño de la encuesta, cálculo de IGM y uso analítico.</w:t>
      </w:r>
    </w:p>
    <w:p>
      <w:r>
        <w:rPr>
          <w:rFonts w:ascii="Courier New" w:hAnsi="Courier New"/>
          <w:sz w:val="18"/>
        </w:rPr>
        <w:t>CRA_NarrativaExplicativa.md</w:t>
      </w:r>
      <w:r>
        <w:t xml:space="preserve"> </w:t>
      </w:r>
    </w:p>
    <w:p>
      <w:r>
        <w:t>Texto introductorio para acompañar la encuesta o los resultados.</w:t>
      </w:r>
    </w:p>
    <w:p>
      <w:r>
        <w:rPr>
          <w:rFonts w:ascii="Courier New" w:hAnsi="Courier New"/>
          <w:sz w:val="18"/>
        </w:rPr>
        <w:t>CRA_Mapeo_Preguntas_Requisitos.md</w:t>
      </w:r>
      <w:r>
        <w:t xml:space="preserve"> </w:t>
      </w:r>
    </w:p>
    <w:p>
      <w:r>
        <w:t>Tabla que vincula cada pregunta con requisitos normativos relevantes.</w:t>
      </w:r>
    </w:p>
    <w:p>
      <w:r>
        <w:rPr>
          <w:rFonts w:ascii="Courier New" w:hAnsi="Courier New"/>
          <w:sz w:val="18"/>
        </w:rPr>
        <w:t>CRA_Plantilla_Excel_IGM_ROI.md</w:t>
      </w:r>
      <w:r>
        <w:t xml:space="preserve"> </w:t>
      </w:r>
    </w:p>
    <w:p>
      <w:r>
        <w:t>Especificaciones para implementar en Excel el cálculo de IGM y ROI.</w:t>
      </w:r>
    </w:p>
    <w:p>
      <w:r>
        <w:rPr>
          <w:rFonts w:ascii="Courier New" w:hAnsi="Courier New"/>
          <w:sz w:val="18"/>
        </w:rPr>
        <w:t>CRA_Plantilla_ReporteEjecutivo_PPT.md</w:t>
      </w:r>
      <w:r>
        <w:t xml:space="preserve"> </w:t>
      </w:r>
    </w:p>
    <w:p>
      <w:r>
        <w:t>Guion para construir presentaciones de resultados orientadas a dirección.</w:t>
      </w:r>
    </w:p>
    <w:p>
      <w:r>
        <w:rPr>
          <w:rFonts w:ascii="Courier New" w:hAnsi="Courier New"/>
          <w:sz w:val="18"/>
        </w:rPr>
        <w:t>CRA_README_KitEncuesta.md</w:t>
      </w:r>
      <w:r>
        <w:t xml:space="preserve"> </w:t>
      </w:r>
    </w:p>
    <w:p>
      <w:pPr>
        <w:pStyle w:val="Heading2"/>
        <w:keepNext/>
        <w:keepLines/>
      </w:pPr>
      <w:r>
        <w:rPr>
          <w:color w:val="0066CC"/>
        </w:rPr>
        <w:t>Cómo empezar</w:t>
      </w:r>
    </w:p>
    <w:p>
      <w:pPr>
        <w:pStyle w:val="ListNumber"/>
        <w:keepLines w:val="1"/>
        <w:keepNext w:val="1"/>
        <w:widowControl w:val="1"/>
      </w:pPr>
      <w:r>
        <w:t xml:space="preserve">Adapte el ModeloIntegral a su contexto (sector, país, idioma, terminología interna).  </w:t>
      </w:r>
    </w:p>
    <w:p>
      <w:pPr>
        <w:pStyle w:val="ListNumber"/>
        <w:keepLines w:val="1"/>
        <w:keepNext w:val="1"/>
        <w:widowControl w:val="1"/>
      </w:pPr>
      <w:r>
        <w:t xml:space="preserve">Configure un formulario en la herramienta de su elección (LimeSurvey, Qualtrics, etc.) utilizando el cuestionario como base.  </w:t>
      </w:r>
    </w:p>
    <w:p>
      <w:pPr>
        <w:pStyle w:val="ListNumber"/>
        <w:keepLines w:val="1"/>
        <w:keepNext w:val="1"/>
        <w:widowControl w:val="1"/>
      </w:pPr>
      <w:r>
        <w:t xml:space="preserve">Prepare el libro Excel siguiendo la Plantilla_Excel_IGM_ROI.  </w:t>
      </w:r>
    </w:p>
    <w:p>
      <w:pPr>
        <w:pStyle w:val="ListNumber"/>
        <w:keepLines w:val="1"/>
        <w:keepNext w:val="1"/>
        <w:widowControl w:val="1"/>
      </w:pPr>
      <w:r>
        <w:t xml:space="preserve">Defina la muestra y la estrategia de recogida (invitaciones, plazos, recordatorios).  </w:t>
      </w:r>
    </w:p>
    <w:p>
      <w:pPr>
        <w:pStyle w:val="ListNumber"/>
        <w:keepLines w:val="1"/>
        <w:widowControl w:val="1"/>
      </w:pPr>
      <w:r>
        <w:t>Una vez obtenidas las respuestas, calcule IGM y ROI y estructure los resultados en una presentación basada en la plantilla de reporte.</w:t>
      </w:r>
    </w:p>
    <w:p>
      <w:pPr>
        <w:pStyle w:val="Heading2"/>
        <w:keepNext/>
        <w:keepLines/>
      </w:pPr>
      <w:r>
        <w:rPr>
          <w:color w:val="0066CC"/>
        </w:rPr>
        <w:t>Personalización recomendada</w:t>
      </w:r>
    </w:p>
    <w:p>
      <w:pPr>
        <w:pStyle w:val="ListBullet"/>
        <w:keepLines w:val="1"/>
        <w:keepNext w:val="1"/>
        <w:widowControl w:val="1"/>
      </w:pPr>
      <w:r>
        <w:t xml:space="preserve">Ajustar el tono del cuestionario si se dirige a audiencias menos familiarizadas con el CRA o más sensibles al humor.  </w:t>
      </w:r>
    </w:p>
    <w:p>
      <w:pPr>
        <w:pStyle w:val="ListBullet"/>
        <w:keepLines w:val="1"/>
        <w:keepNext w:val="1"/>
        <w:widowControl w:val="1"/>
      </w:pPr>
      <w:r>
        <w:t xml:space="preserve">Adaptar el mapeo normativo a la versión consolidada del CRA y a la legislación nacional aplicable.  </w:t>
      </w:r>
    </w:p>
    <w:p>
      <w:pPr>
        <w:pStyle w:val="ListBullet"/>
        <w:keepLines w:val="1"/>
        <w:keepNext w:val="1"/>
        <w:widowControl w:val="1"/>
      </w:pPr>
      <w:r>
        <w:t xml:space="preserve">Modificar ponderaciones del IGM según objetivos (por ejemplo, destacar más la dimensión de vulnerabilidades).  </w:t>
      </w:r>
    </w:p>
    <w:p>
      <w:pPr>
        <w:pStyle w:val="ListBullet"/>
        <w:keepLines w:val="1"/>
        <w:widowControl w:val="1"/>
      </w:pPr>
      <w:r>
        <w:t>Integrar indicadores adicionales específicos de sector (OT, sanitario, financiero, etc.).</w:t>
      </w:r>
    </w:p>
    <w:p>
      <w:pPr>
        <w:pStyle w:val="Heading2"/>
        <w:keepNext/>
        <w:keepLines/>
      </w:pPr>
      <w:r>
        <w:rPr>
          <w:color w:val="0066CC"/>
        </w:rPr>
        <w:t>Advertencias razonables</w:t>
      </w:r>
    </w:p>
    <w:p>
      <w:pPr>
        <w:pStyle w:val="ListBullet"/>
        <w:keepLines w:val="1"/>
        <w:keepNext w:val="1"/>
        <w:widowControl w:val="1"/>
      </w:pPr>
      <w:r>
        <w:t xml:space="preserve">Este kit no es asesoramiento jurídico. Es una herramienta de diagnóstico y reflexión.  </w:t>
      </w:r>
    </w:p>
    <w:p>
      <w:pPr>
        <w:pStyle w:val="ListBullet"/>
        <w:keepLines w:val="1"/>
        <w:keepNext w:val="1"/>
        <w:widowControl w:val="1"/>
      </w:pPr>
      <w:r>
        <w:t xml:space="preserve">El cálculo de ROI es orientativo y no debe utilizarse como única base para decisiones de inversión millonarias sin contraste adicional.  </w:t>
      </w:r>
    </w:p>
    <w:p>
      <w:pPr>
        <w:pStyle w:val="ListBullet"/>
        <w:keepLines w:val="1"/>
        <w:widowControl w:val="1"/>
      </w:pPr>
      <w:r>
        <w:t>La realidad de cada organización es más rica que cualquier cuestionario; utilice las preguntas abiertas y las entrevistas complementarias para capturar matices.</w:t>
      </w:r>
    </w:p>
    <w:p>
      <w:pPr>
        <w:pStyle w:val="Heading2"/>
        <w:keepNext/>
        <w:keepLines/>
      </w:pPr>
      <w:r>
        <w:rPr>
          <w:color w:val="0066CC"/>
        </w:rPr>
        <w:t>Actualizaciones</w:t>
      </w:r>
    </w:p>
    <w:p>
      <w:r>
        <w:t>El CRA, sus normas de desarrollo y las guías técnicas evolucionarán. Se recomienda:</w:t>
      </w:r>
    </w:p>
    <w:p>
      <w:pPr>
        <w:pStyle w:val="ListBullet"/>
        <w:keepLines w:val="1"/>
        <w:keepNext w:val="1"/>
        <w:widowControl w:val="1"/>
      </w:pPr>
      <w:r>
        <w:t xml:space="preserve">Revisar y actualizar el kit cada 2–3 años o cuando haya cambios regulatorios relevantes.  </w:t>
      </w:r>
    </w:p>
    <w:p>
      <w:pPr>
        <w:pStyle w:val="ListBullet"/>
        <w:keepLines w:val="1"/>
        <w:widowControl w:val="1"/>
      </w:pPr>
      <w:r>
        <w:t>Documentar las adaptaciones realizadas para futuras ediciones y comparativas longitudinales.</w:t>
      </w:r>
    </w:p>
    <w:p>
      <w:pPr>
        <w:pStyle w:val="Heading2"/>
        <w:keepNext/>
        <w:keepLines/>
      </w:pPr>
      <w:r>
        <w:rPr>
          <w:color w:val="0066CC"/>
        </w:rPr>
        <w:t>Licencia y uso</w:t>
      </w:r>
    </w:p>
    <w:p>
      <w:r>
        <w:t>Este kit puede adaptarse y reutilizarse para fines internos, sectoriales o académicos, citando la fuente original cuando proceda. Si se utiliza en contextos públicos o como base de políticas, es recomendable someterlo a revisión adicional por parte de especialistas jurídicos y técnicos.</w:t>
      </w:r>
    </w:p>
    <w:p>
      <w:r>
        <w:t>Si ha llegado hasta el final de este README, probablemente esté lo bastante motivado como para poner en marcha la encuesta. Lo cual, en estos tiempos, ya es un indicador de madurez.</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