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🔬 GUÍA METODOLÓGICA DETALLADA</w:t>
      </w:r>
    </w:p>
    <w:p>
      <w:pPr>
        <w:pStyle w:val="Heading2"/>
        <w:keepNext/>
        <w:keepLines/>
      </w:pPr>
      <w:r>
        <w:rPr>
          <w:color w:val="0066CC"/>
        </w:rPr>
        <w:t>Encuesta FAICP 2025–2026: Protocolo de Diseño, Aplicación, Análisis y Validación</w:t>
      </w:r>
    </w:p>
    <w:p>
      <w:r>
        <w:rPr>
          <w:i/>
        </w:rPr>
        <w:t>"Una encuesta bien diseñada es una conversación diferida con cientos de personas. Su rigor metodológico es la cortesía mínima que les debemos a quienes invierten su tiempo en responderla."</w:t>
      </w:r>
    </w:p>
    <w:p>
      <w:r>
        <w:rPr>
          <w:b/>
        </w:rPr>
        <w:t>Versión:</w:t>
      </w:r>
      <w:r>
        <w:t xml:space="preserve"> 1.0 — Abril 2026 | </w:t>
      </w:r>
      <w:r>
        <w:rPr>
          <w:b/>
        </w:rPr>
        <w:t>Audiencia:</w:t>
      </w:r>
      <w:r>
        <w:t xml:space="preserve"> Equipo investigador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1. FUNDAMENTOS TEÓRICOS</w:t>
      </w:r>
    </w:p>
    <w:p>
      <w:pPr>
        <w:pStyle w:val="Heading3"/>
        <w:keepNext/>
        <w:keepLines/>
      </w:pPr>
      <w:r>
        <w:t>1.1. Enfoque GQM (Goal-Question-Metric)</w:t>
      </w:r>
    </w:p>
    <w:p>
      <w:r>
        <w:t xml:space="preserve">La metodología </w:t>
      </w:r>
      <w:r>
        <w:rPr>
          <w:b/>
        </w:rPr>
        <w:t>GQM (Goal-Question-Metric)</w:t>
      </w:r>
      <w:r>
        <w:t xml:space="preserve"> de Basili y Weiss garantiza que cada pregunta responde a un objetivo medible y cada métrica deriva de una necesidad de información específica.</w:t>
      </w:r>
    </w:p>
    <w:p>
      <w:r>
        <w:rPr>
          <w:b/>
        </w:rPr>
        <w:t>Objetivo principal:</w:t>
      </w:r>
      <w:r>
        <w:t xml:space="preserve"> Medir la madurez de las organizaciones españolas en ciberseguridad para IA, con desglose territorial por CCAA.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Objetivo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Enunciado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FAICP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Determinar nivel de gobernanza IA-ciberseguridad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 1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Evaluar capacidad de identificación activos y riesgos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 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Medir implementación de controles de protección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PROTEGER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 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Evaluar capacidades de detección de amenazas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DETECTAR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Medir preparación para respuesta a incidentes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RESPONDER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 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Evaluar planes de recuperación de sistemas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RECUPERAR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 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Caracterizar exposición OT/ICS con componente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INDUSTRIAL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 7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Medir grado de cumplimiento normativo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Sección 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Establecer benchmarks por CCAA y sector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TERRITORIAL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Análisis cruzado</w:t>
            </w:r>
          </w:p>
        </w:tc>
      </w:tr>
    </w:tbl>
    <w:p/>
    <w:p>
      <w:pPr>
        <w:pStyle w:val="Heading3"/>
        <w:keepNext/>
        <w:keepLines/>
      </w:pPr>
      <w:r>
        <w:t>1.2. Paradigma de Investigación</w:t>
      </w:r>
    </w:p>
    <w:p>
      <w:r>
        <w:t xml:space="preserve">Diseño de </w:t>
      </w:r>
      <w:r>
        <w:rPr>
          <w:b/>
        </w:rPr>
        <w:t>investigación mixta</w:t>
      </w:r>
      <w:r>
        <w:t>:</w:t>
      </w:r>
      <w:r/>
      <w:r>
        <w:br/>
        <w:t xml:space="preserve">- </w:t>
      </w:r>
      <w:r>
        <w:rPr>
          <w:b/>
        </w:rPr>
        <w:t>Cuantitativa:</w:t>
      </w:r>
      <w:r>
        <w:t xml:space="preserve"> Escalas Likert 1-5, selección múltiple, índices compuestos (IGM-FAICP)</w:t>
      </w:r>
      <w:r/>
      <w:r>
        <w:br/>
        <w:t xml:space="preserve">- </w:t>
      </w:r>
      <w:r>
        <w:rPr>
          <w:b/>
        </w:rPr>
        <w:t>Cualitativa:</w:t>
      </w:r>
      <w:r>
        <w:t xml:space="preserve"> Preguntas abiertas, análisis temático, narrativas emergentes</w:t>
      </w:r>
      <w:r/>
      <w:r>
        <w:br/>
        <w:t xml:space="preserve">- </w:t>
      </w:r>
      <w:r>
        <w:rPr>
          <w:b/>
        </w:rPr>
        <w:t>Longitudinal:</w:t>
      </w:r>
      <w:r>
        <w:t xml:space="preserve"> Diseñada para reaplicación anual desde 2026</w:t>
      </w:r>
    </w:p>
    <w:p>
      <w:pPr>
        <w:pStyle w:val="Heading3"/>
        <w:keepNext/>
        <w:keepLines/>
      </w:pPr>
      <w:r>
        <w:t>1.3. Modelos de Madurez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FAICP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CMM/CMMI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COBIT 2019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Cisco CRI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 · Inexistente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Initial 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Initial 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 aplica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Beginner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 · Inicial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Managed (2)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Managed (2)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Básico parcial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Formative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 · Definido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Defined (3)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Defined (3)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Básico completo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Progressive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 · Gestionado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Quant. Managed (4)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Established (4)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Mature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5 · Optimizado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Optimizing (5)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Optimized (5)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Alto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Leader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DISEÑO MUESTRAL</w:t>
      </w:r>
    </w:p>
    <w:p>
      <w:pPr>
        <w:pStyle w:val="Heading3"/>
        <w:keepNext/>
        <w:keepLines/>
      </w:pPr>
      <w:r>
        <w:t>2.1. Población Objetivo</w:t>
      </w:r>
    </w:p>
    <w:p>
      <w:r>
        <w:rPr>
          <w:b/>
        </w:rPr>
        <w:t>Población diana:</w:t>
      </w:r>
      <w:r>
        <w:t xml:space="preserve"> Responsables de ciberseguridad, TI, riesgos o dirección en organizaciones españolas que operen o planifiquen sistemas de IA. Nivel mínimo del respondente: Director/a de Seguridad o equivalente.</w:t>
      </w:r>
    </w:p>
    <w:p>
      <w:pPr>
        <w:pStyle w:val="Heading3"/>
        <w:keepNext/>
        <w:keepLines/>
      </w:pPr>
      <w:r>
        <w:t>2.2. Estratificación Muestral por CCAA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CCAA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Cuota Mínima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Madrid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~40% del tejido empresarial TIC nacional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Cataluña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Segundo ecosistema tecnológico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País Vasco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Mayor densidad OT y referente industrial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C. Valenciana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Ecosistema emergente smart city + industria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Castilla y León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Sede INCIBE; hub formación ciber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Resto CCAA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33%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Distribución proporcional a PIB regional</w:t>
            </w:r>
          </w:p>
        </w:tc>
      </w:tr>
    </w:tbl>
    <w:p/>
    <w:p>
      <w:pPr>
        <w:pStyle w:val="Heading3"/>
        <w:keepNext/>
        <w:keepLines/>
      </w:pPr>
      <w:r>
        <w:t>2.3. Cuotas por Sector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Cuota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Cuota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AAPP (todas)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Tecnología/TIC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Sanidad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Industria/Manufactura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Banca/Finanzas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Resto sectores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27%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Energía/Utilities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8%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2.4. Tamaño Muestral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Margen de error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±5%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Nivel de confianza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95%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Proporción estimada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50% (máxima varianza)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 mínimo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384 respondentes válidos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n objetivo (análisis CCAA)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700–1.000 respondentes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PROCESO DE APLICACIÓN</w:t>
      </w:r>
    </w:p>
    <w:p>
      <w:pPr>
        <w:pStyle w:val="Heading3"/>
        <w:keepNext/>
        <w:keepLines/>
      </w:pPr>
      <w:r>
        <w:t>3.1. Fases del Proyecto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FASE 1 — Preparación (Semanas 1-4)</w:t>
        <w:br/>
        <w:t>├── Revisión por panel de expertos (mínimo 5 CISOs + 1 experto EU AI Act + 1 académico)</w:t>
        <w:br/>
        <w:t>├── Prueba piloto con 15-20 organizaciones</w:t>
        <w:br/>
        <w:t>├── Ajuste lingüístico y técnico</w:t>
        <w:br/>
        <w:t>└── Configuración de plataforma digital</w:t>
        <w:br/>
        <w:br/>
        <w:t>FASE 2 — Reclutamiento (Semanas 5-8)</w:t>
        <w:br/>
        <w:t>├── Distribución vía INCIBE, ISMS Forum, CCN-CERT, CIONET España</w:t>
        <w:br/>
        <w:t>├── Difusión en asociaciones sectoriales (AEB, UNESA, SEOPAN...)</w:t>
        <w:br/>
        <w:t>├── LinkedIn grupos CISO</w:t>
        <w:br/>
        <w:t>└── Colaboración con CCAA vía CCN y organismos autonómicos</w:t>
        <w:br/>
        <w:br/>
        <w:t>FASE 3 — Recolección (Semanas 9-16)</w:t>
        <w:br/>
        <w:t>├── Período principal: 6 semanas</w:t>
        <w:br/>
        <w:t>├── Recordatorios en semanas 3 y 5</w:t>
        <w:br/>
        <w:t>├── Monitorización tasa de respuesta por CCAA y sector</w:t>
        <w:br/>
        <w:t>└── Cierre con verificación de cuotas mínimas</w:t>
        <w:br/>
        <w:br/>
        <w:t>FASE 4 — Análisis (Semanas 17-22)</w:t>
        <w:br/>
        <w:t>├── Limpieza de datos (outliers, inconsistencias)</w:t>
        <w:br/>
        <w:t>├── Cálculo IGM por organización, sector y CCAA</w:t>
        <w:br/>
        <w:t>├── Análisis estadístico descriptivo e inferencial</w:t>
        <w:br/>
        <w:t>├── Análisis cualitativo de preguntas abiertas</w:t>
        <w:br/>
        <w:t>└── Benchmarking internacional</w:t>
        <w:br/>
        <w:br/>
        <w:t>FASE 5 — Difusión (Semanas 23-26)</w:t>
        <w:br/>
        <w:t>├── Informe ejecutivo nacional</w:t>
        <w:br/>
        <w:t>├── Informes por CCAA (17 documentos personalizados)</w:t>
        <w:br/>
        <w:t>├── Publicación académica peer-reviewed</w:t>
        <w:br/>
        <w:t>└── Presentación en evento referencial (CYBERCAMP, RootedCON...)</w:t>
        <w:br/>
      </w:r>
    </w:p>
    <w:p>
      <w:pPr>
        <w:pStyle w:val="Heading3"/>
        <w:keepNext/>
        <w:keepLines/>
      </w:pPr>
      <w:r>
        <w:t>3.2. Plataformas de Administración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Plataforma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Ventajas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Inconvenientes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LimeSurvey (self-hosted)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 total de datos, RGPD nativo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Requiere infraestructura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Primera opción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Google Forms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Sencillo, gratuito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en servidores EE.UU.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Solo con consentimiento explícito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SurveyMonkey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Profesional, analytics integrado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Coste, servidores EE.UU.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 presupuesto disponible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REDCap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Certificado para investigación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Requiere acceso institucional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Para versión académica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CODIFICACIÓN Y ANÁLISIS</w:t>
      </w:r>
    </w:p>
    <w:p>
      <w:pPr>
        <w:pStyle w:val="Heading3"/>
        <w:keepNext/>
        <w:keepLines/>
      </w:pPr>
      <w:r>
        <w:t>4.1. Cálculo del IGM-FAICP</w:t>
      </w:r>
    </w:p>
    <w:p>
      <w:r>
        <w:rPr>
          <w:b/>
        </w:rPr>
        <w:t>Fórmula:</w:t>
      </w:r>
    </w:p>
    <w:p>
      <w:r>
        <w:t>$$IGM = \sum_{f=1}^{6} w_f \cdot \bar{M}_f$$</w:t>
      </w:r>
    </w:p>
    <w:p>
      <w:r>
        <w:t>Donde $w_f$ es el peso de la función $f$ y $\bar{M}_f$ la media de las puntuaciones de madurez de esa función.</w:t>
      </w:r>
    </w:p>
    <w:p>
      <w:r>
        <w:rPr>
          <w:b/>
        </w:rPr>
        <w:t>Pesos por función: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 (w)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Gobernar (GV)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Habilitadora de todas las demás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Identificar (ID)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0.20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Prerequisito para toda protección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Proteger (PR)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0.25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Mayor número de controles operativos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Detectar (DE)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0.15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Crítica pero parcialmente automatizable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Responder (RS)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0.10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dependencia de GV, ID y PR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Recuperar (RC)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0.10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Complementaria a Responder</w:t>
            </w:r>
          </w:p>
        </w:tc>
      </w:tr>
    </w:tbl>
    <w:p/>
    <w:p>
      <w:r>
        <w:rPr>
          <w:b/>
        </w:rPr>
        <w:t>Interpretación del IGM: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 – 1.5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Intervención urgente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1.5 – 2.5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Emergente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Plan de mejora prioritario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2.5 – 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Desarrollado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Consolidación y extensión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3.5 – 4.5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Avanzado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Optimización y automatización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4.5 – 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Líder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Compartir prácticas</w:t>
            </w:r>
          </w:p>
        </w:tc>
      </w:tr>
    </w:tbl>
    <w:p/>
    <w:p>
      <w:pPr>
        <w:pStyle w:val="Heading3"/>
        <w:keepNext/>
        <w:keepLines/>
      </w:pPr>
      <w:r>
        <w:t>4.2. Análisis Estadístico</w:t>
      </w:r>
    </w:p>
    <w:p>
      <w:r>
        <w:rPr>
          <w:b/>
        </w:rPr>
        <w:t>Descriptivo:</w:t>
      </w:r>
      <w:r>
        <w:t xml:space="preserve"> Media, mediana, desviación típica, IC95%, distribución de frecuencias, tablas de contingencia.</w:t>
      </w:r>
    </w:p>
    <w:p>
      <w:r>
        <w:rPr>
          <w:b/>
        </w:rPr>
        <w:t>Inferencial:</w:t>
      </w:r>
      <w:r/>
      <w:r>
        <w:br/>
        <w:t>- ANOVA de un factor: comparar IGM entre sectores y CCAA</w:t>
      </w:r>
      <w:r/>
      <w:r>
        <w:br/>
        <w:t>- Test de Mann-Whitney: comparaciones binarias (grande vs. pequeña empresa)</w:t>
      </w:r>
      <w:r/>
      <w:r>
        <w:br/>
        <w:t>- Análisis de clústeres (K-means): perfiles de madurez organizativa</w:t>
      </w:r>
      <w:r/>
      <w:r>
        <w:br/>
        <w:t>- Correlación de Spearman: IGM total vs. sub-índices por función</w:t>
      </w:r>
    </w:p>
    <w:p>
      <w:r>
        <w:rPr>
          <w:b/>
        </w:rPr>
        <w:t>Multivariante:</w:t>
      </w:r>
      <w:r/>
      <w:r>
        <w:br/>
        <w:t>- Regresión lineal múltiple: predictores del IGM (sector, tamaño, CCAA, presupuesto)</w:t>
      </w:r>
      <w:r/>
      <w:r>
        <w:br/>
        <w:t>- Análisis factorial exploratorio: validar estructura interna de la escala</w:t>
      </w:r>
    </w:p>
    <w:p>
      <w:pPr>
        <w:pStyle w:val="Heading2"/>
        <w:keepNext/>
        <w:keepLines/>
      </w:pPr>
      <w:r>
        <w:rPr>
          <w:color w:val="0066CC"/>
        </w:rPr>
        <w:t>5. VALIDEZ Y FIABILIDAD</w:t>
      </w:r>
    </w:p>
    <w:p>
      <w:pPr>
        <w:pStyle w:val="Heading3"/>
        <w:keepNext/>
        <w:keepLines/>
      </w:pPr>
      <w:r>
        <w:t>5.1. Validez de Contenido</w:t>
      </w:r>
    </w:p>
    <w:p>
      <w:r>
        <w:rPr>
          <w:b/>
        </w:rPr>
        <w:t>Panel de expertos:</w:t>
      </w:r>
      <w:r>
        <w:t xml:space="preserve"> Mínimo 3 CISOs con &gt;10 años de experiencia + 1 experto EU AI Act + 1 académico.</w:t>
      </w:r>
    </w:p>
    <w:p>
      <w:r>
        <w:rPr>
          <w:b/>
        </w:rPr>
        <w:t>Criterios:</w:t>
      </w:r>
      <w:r/>
      <w:r>
        <w:br/>
        <w:t>- Coeficiente de Validez de Contenido (CVC) de Hernández-Nieto: umbral ≥ 0.80</w:t>
      </w:r>
      <w:r/>
      <w:r>
        <w:br/>
        <w:t>- Índice de Adecuación de Ítems (IAI): umbral ≥ 0.85</w:t>
      </w:r>
    </w:p>
    <w:p>
      <w:pPr>
        <w:pStyle w:val="Heading3"/>
        <w:keepNext/>
        <w:keepLines/>
      </w:pPr>
      <w:r>
        <w:t>5.2. Fiabilidad</w:t>
      </w:r>
    </w:p>
    <w:p>
      <w:r>
        <w:rPr>
          <w:b/>
        </w:rPr>
        <w:t>Alpha de Cronbach por sección:</w:t>
      </w:r>
      <w:r/>
      <w:r>
        <w:br/>
        <w:t>- Mínimo aceptable: α ≥ 0.70</w:t>
      </w:r>
      <w:r/>
      <w:r>
        <w:br/>
        <w:t>- Recomendado: α ≥ 0.80</w:t>
      </w:r>
    </w:p>
    <w:p>
      <w:r>
        <w:rPr>
          <w:b/>
        </w:rPr>
        <w:t>Test-retest:</w:t>
      </w:r>
      <w:r/>
      <w:r>
        <w:br/>
        <w:t>- Submuestra: 30 organizaciones, intervalo 4 semanas</w:t>
      </w:r>
      <w:r/>
      <w:r>
        <w:br/>
        <w:t>- Coeficiente de correlación intraclase (ICC) ≥ 0.75</w:t>
      </w:r>
    </w:p>
    <w:p>
      <w:pPr>
        <w:pStyle w:val="Heading3"/>
        <w:keepNext/>
        <w:keepLines/>
      </w:pPr>
      <w:r>
        <w:t>5.3. Criterios del Piloto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Umbral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Tiempo total &gt; 75 min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Cualquier respondente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Reducir preguntas de selección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Tasa abandono sección &gt; 10%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Acumulado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Revisar complejidad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"No lo sé" &gt; 20% en ítem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Cualquier pregunta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Reformular o eliminar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Varianza ítem &lt; 0.5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Estadístico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Evaluar eliminación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Alpha Cronbach sección &lt; 0.65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Por sección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Revisar coherencia de ítems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ÉTICA Y PROTECCIÓN DE DATOS</w:t>
      </w:r>
    </w:p>
    <w:p>
      <w:pPr>
        <w:pStyle w:val="ListBullet"/>
        <w:keepLines w:val="1"/>
        <w:keepNext w:val="1"/>
        <w:widowControl w:val="1"/>
      </w:pPr>
      <w:r>
        <w:t>Base jurídica: Interés legítimo (investigación de interés público) + consentimiento explícito</w:t>
      </w:r>
    </w:p>
    <w:p>
      <w:pPr>
        <w:pStyle w:val="ListBullet"/>
        <w:keepLines w:val="1"/>
        <w:keepNext w:val="1"/>
        <w:widowControl w:val="1"/>
      </w:pPr>
      <w:r>
        <w:t>Anonimización: Datos organizacionales anonimizados antes del análisis</w:t>
      </w:r>
    </w:p>
    <w:p>
      <w:pPr>
        <w:pStyle w:val="ListBullet"/>
        <w:keepLines w:val="1"/>
        <w:keepNext w:val="1"/>
        <w:widowControl w:val="1"/>
      </w:pPr>
      <w:r>
        <w:t>Datos mínimos: Solo CCAA, sector y tamaño (sin nombre ni CIF)</w:t>
      </w:r>
    </w:p>
    <w:p>
      <w:pPr>
        <w:pStyle w:val="ListBullet"/>
        <w:keepLines w:val="1"/>
        <w:keepNext w:val="1"/>
        <w:widowControl w:val="1"/>
      </w:pPr>
      <w:r>
        <w:t>Conservación: Datos crudos máximo 5 años; datos anonimizados indefinidamente</w:t>
      </w:r>
    </w:p>
    <w:p>
      <w:pPr>
        <w:pStyle w:val="ListBullet"/>
        <w:keepLines w:val="1"/>
        <w:widowControl w:val="1"/>
      </w:pPr>
      <w:r>
        <w:t>Derechos RGPD: Acceso, rectificación, supresión, portabilidad, oposición</w:t>
      </w:r>
    </w:p>
    <w:p>
      <w:pPr>
        <w:pStyle w:val="Heading2"/>
        <w:keepNext/>
        <w:keepLines/>
      </w:pPr>
      <w:r>
        <w:rPr>
          <w:color w:val="0066CC"/>
        </w:rPr>
        <w:t>7. PRODUCTOS Y DIFUSIÓN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Producto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Canal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Informe ejecutivo nacional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CISOs, directivos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Web FAICP + INCIBE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Informes por CCAA (17)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Gobiernos autonómicos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Envío directo + web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Artículo académico peer-reviewed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Computers &amp; Security, IEEE TII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9-12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Dataset anonimizado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Zenodo / DIGITAL.CSIC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meses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Dashboard interactivo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Público general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Web FAICP observatory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5 meses</w:t>
            </w:r>
          </w:p>
        </w:tc>
      </w:tr>
    </w:tbl>
    <w:p/>
    <w:p>
      <w:r>
        <w:rPr>
          <w:i/>
        </w:rPr>
        <w:t>Kit FAICP 2025–2026 · Documento (b) · Versión 1.0 · Abril 2026</w:t>
      </w:r>
      <w:r/>
      <w:r>
        <w:br/>
      </w:r>
      <w:r>
        <w:rPr>
          <w:i/>
        </w:rPr>
        <w:t>Metodología basada en: GQM (Basili &amp; Weiss), CMM/CMMI, COBIT 2019, ISO/IEC 42001, NIST AI RMF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