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Excel: Cálculo IGM-FAICP y ROI de Ciberseguridad IA</w:t>
      </w:r>
    </w:p>
    <w:p>
      <w:pPr>
        <w:pStyle w:val="Heading2"/>
        <w:keepNext/>
        <w:keepLines/>
      </w:pPr>
      <w:r>
        <w:rPr>
          <w:color w:val="0066CC"/>
        </w:rPr>
        <w:t>Especificación técnica completa lista para implementar en Microsoft Excel o Google Sheets</w:t>
      </w:r>
    </w:p>
    <w:p>
      <w:r>
        <w:rPr>
          <w:b/>
        </w:rPr>
        <w:t>Versión:</w:t>
      </w:r>
      <w:r>
        <w:t xml:space="preserve"> 1.0 — Abril 2026</w:t>
      </w:r>
      <w:r/>
      <w:r>
        <w:br/>
      </w:r>
      <w:r>
        <w:rPr>
          <w:b/>
        </w:rPr>
        <w:t>Descripción:</w:t>
      </w:r>
      <w:r>
        <w:t xml:space="preserve"> Esta plantilla implementa el cálculo del Índice de Gobernanza y Madurez FAICP (IGM-FAICP) y el modelo de ROI de Ciberseguridad IA, con todas las fórmulas, validaciones de datos y formateo condicional especificados para implementación directa.</w:t>
      </w:r>
    </w:p>
    <w:p>
      <w:pPr>
        <w:pStyle w:val="Heading2"/>
        <w:keepNext/>
        <w:keepLines/>
      </w:pPr>
      <w:r>
        <w:rPr>
          <w:color w:val="0066CC"/>
        </w:rPr>
        <w:t>HOJA 1: "INSTRUCCIONES"</w:t>
      </w:r>
    </w:p>
    <w:p>
      <w:pPr>
        <w:pStyle w:val="Heading3"/>
        <w:keepNext/>
        <w:keepLines/>
      </w:pPr>
      <w:r>
        <w:t>Estructura de la Hoja</w:t>
      </w:r>
    </w:p>
    <w:p>
      <w:r>
        <w:rPr>
          <w:b/>
        </w:rPr>
        <w:t>Celda A1:</w:t>
      </w:r>
      <w:r>
        <w:t xml:space="preserve"> Título: </w:t>
      </w:r>
      <w:r>
        <w:rPr>
          <w:rFonts w:ascii="Courier New" w:hAnsi="Courier New"/>
          <w:sz w:val="18"/>
        </w:rPr>
        <w:t>KIT IGM-FAICP 2025-2026 — Calculadora de Índice de Madurez y ROI</w:t>
      </w:r>
      <w:r/>
      <w:r>
        <w:br/>
      </w:r>
      <w:r>
        <w:rPr>
          <w:b/>
        </w:rPr>
        <w:t>Celda A2:</w:t>
      </w:r>
      <w:r>
        <w:t xml:space="preserve"> Versión: </w:t>
      </w:r>
      <w:r>
        <w:rPr>
          <w:rFonts w:ascii="Courier New" w:hAnsi="Courier New"/>
          <w:sz w:val="18"/>
        </w:rPr>
        <w:t>v1.0 — Abril 2026 | NIST IR 8596 · EU AI Act · GQM + PRAGMATIC</w:t>
      </w:r>
    </w:p>
    <w:p>
      <w:pPr>
        <w:pStyle w:val="Heading3"/>
        <w:keepNext/>
        <w:keepLines/>
      </w:pPr>
      <w:r>
        <w:t>Contenido de las instrucciones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Sección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usar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1. Completar HOJA 2 (Datos de la Organización), 2. Puntuar todos los indicadores en HOJA 3 (Autoevaluación), 3. Ver resultados automáticos en HOJA 4 (IGM-FAICP), 4. Completar datos de costes en HOJA 5 (ROI)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Escala de puntuación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1 = Inexistente / 2 = Inicial / 3 = Definido / 4 = Gestionado / 5 = Optimizado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 recomendada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Evaluación inicial + revisión semestral de indicadores Tier 1 + revisión anual completa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Contacto técnico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INCIBE (017) · AESIA (supervisión EU AI Act) · CCN-CERT (sectores AAPP y defensa)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HOJA 2: "DATOS ORGANIZACIÓN"</w:t>
      </w:r>
    </w:p>
    <w:p>
      <w:pPr>
        <w:pStyle w:val="Heading3"/>
        <w:keepNext/>
        <w:keepLines/>
      </w:pPr>
      <w:r>
        <w:t>Estructura de Campos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Celda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Nombre de la organización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 libre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Empresa Ejemplo S.A.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CIF / NIF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B12345678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CCAA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 desplegable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(ver lista validación abajo)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Sector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 desplegable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(ver lista validación abajo)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Tamaño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 desplegable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Microempresa / PYME / Grande / AAPP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Perfil regulatorio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Casillas de verificación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OE_NIS2 / OI_NIS2 / AAPP_ENS / ProvIA_AIA / DesplIA_AIA / EntFin_DORA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 de evaluación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=HOY()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Evaluador responsable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 libre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Nombre Apellidos — Rol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B11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Próxima revisión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Fórmula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=B9+180 (6 meses)</w:t>
            </w:r>
          </w:p>
        </w:tc>
      </w:tr>
    </w:tbl>
    <w:p/>
    <w:p>
      <w:pPr>
        <w:pStyle w:val="Heading3"/>
        <w:keepNext/>
        <w:keepLines/>
      </w:pPr>
      <w:r>
        <w:t>Listas de Validación de Datos</w:t>
      </w:r>
    </w:p>
    <w:p>
      <w:r>
        <w:rPr>
          <w:b/>
        </w:rPr>
        <w:t>CCAA (lista desplegable en B5):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Andalucía, Aragón, Asturias, Baleares, Canarias, Cantabria, Castilla-La Mancha, </w:t>
        <w:br/>
        <w:t xml:space="preserve">Castilla y León, Cataluña, Comunitat Valenciana, Extremadura, Galicia, </w:t>
        <w:br/>
        <w:t>La Rioja, Madrid, Murcia, Navarra, País Vasco, Ceuta, Melilla</w:t>
        <w:br/>
      </w:r>
    </w:p>
    <w:p>
      <w:r>
        <w:rPr>
          <w:b/>
        </w:rPr>
        <w:t>Sectores (lista desplegable en B6 — basado en Anexo I y II NIS2):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Energía, Transporte, Banca y Finanzas, Infraestructura de mercados financieros,</w:t>
        <w:br/>
        <w:t>Sanidad, Agua potable, Aguas residuales, Infraestructura digital,</w:t>
        <w:br/>
        <w:t>Gestión de servicios TIC, Administración pública, Espacio,</w:t>
        <w:br/>
        <w:t>Servicios postales, Gestión de residuos, Fabricación, Alimentación,</w:t>
        <w:br/>
        <w:t>Investigación, Otros servicios digitales, Otros</w:t>
        <w:br/>
      </w:r>
    </w:p>
    <w:p>
      <w:pPr>
        <w:pStyle w:val="Heading2"/>
        <w:keepNext/>
        <w:keepLines/>
      </w:pPr>
      <w:r>
        <w:rPr>
          <w:color w:val="0066CC"/>
        </w:rPr>
        <w:t>HOJA 3: "AUTOEVALUACIÓN"</w:t>
      </w:r>
    </w:p>
    <w:p>
      <w:pPr>
        <w:pStyle w:val="Heading3"/>
        <w:keepNext/>
        <w:keepLines/>
      </w:pPr>
      <w:r>
        <w:t>Estructura Completa de Columnas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Código indicador (IGM-GV-01, etc.) — protegido, solo lectura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Nombre del indicador — protegido, solo lectura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Función CSF 2.0 — protegido, solo lectura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Marco fuente — protegido, solo lectura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Tier (1 = Crítico / 2 = Importante / 3 = Avanzado) — protegido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Puntuación actual (1-5) — campo de entrada con validación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 / notas — texto libre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H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Fecha de última verificación — campo fecha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Plan de acción (si puntuación ≤ 3) — texto libre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J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Responsable del plan — texto libre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K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Fecha objetivo mejora — campo fecha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Puntuación PRAGMATIC total — protegido, solo lectura (precargado)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Calificación PRAGMATIC — protegido, solo lectura (IF anidado)</w:t>
            </w:r>
          </w:p>
        </w:tc>
      </w:tr>
    </w:tbl>
    <w:p/>
    <w:p>
      <w:pPr>
        <w:pStyle w:val="Heading3"/>
        <w:keepNext/>
        <w:keepLines/>
      </w:pPr>
      <w:r>
        <w:t>Datos Pre-cargados (Filas 4-32)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Fila 4:  IGM-GV-01 | Política formal de ciberseguridad para IA           | GOBERNAR  | NIST IR 8596 GV.OC-04  | Tier 1 | [entrada] | ... | 23 | Recomendada</w:t>
        <w:br/>
        <w:t>Fila 5:  IGM-GV-02 | Mapa de dependencias de infraestructura IA           | GOBERNAR  | NIST IR 8596 GV.OC-05  | Tier 1 | [entrada] | ... | 21 | Recomendada</w:t>
        <w:br/>
        <w:t>Fila 6:  IGM-GV-03 | Riesgos IA adversarial en formación RRHH             | GOBERNAR  | NIST IR 8596 GV.RR-04  | Tier 1 | [entrada] | ... | 23 | Recomendada</w:t>
        <w:br/>
        <w:t>Fila 7:  IGM-GV-04 | Evaluación sistemática de proveedores IA             | GOBERNAR  | NIST IR 8596 GV.SC-07  | Tier 1 | [entrada] | ... | 21 | Recomendada</w:t>
        <w:br/>
        <w:t>Fila 8:  IGM-GV-05 | Función de gobernanza de IA (comité/rol)             | GOBERNAR  | AI RMF GOVERN 1.1      | Tier 1 | [entrada] | ... | 25 | Recomendada</w:t>
        <w:br/>
        <w:t>Fila 9:  IGM-GV-06 | Registro y clasificación EU AI Act                   | GOBERNAR  | EU AI Act Art. 49      | Tier 2 | [entrada] | ... | 22 | Recomendada</w:t>
        <w:br/>
        <w:t>Fila 10: IGM-ID-01 | AI-BOM: Inventario completo de sistemas de IA       | IDENTIFICAR| NIST IR 8596 ID.AM-07  | Tier 1 | [entrada] | ... | 22 | Recomendada</w:t>
        <w:br/>
        <w:t>Fila 11: IGM-ID-02 | Evaluación vulnerabilidades específicas IA           | IDENTIFICAR| OWASP LLM Top 10       | Tier 1 | [entrada] | ... | 22 | Recomendada</w:t>
        <w:br/>
        <w:t>Fila 12: IGM-ID-03 | Consumo CTI IA adversarial                           | IDENTIFICAR| MITRE ATLAS v5.5       | Tier 2 | [entrada] | ... | 20 | Condicional</w:t>
        <w:br/>
        <w:t>Fila 13: IGM-ID-04 | Modelado velocidad ataques IA en gestión riesgos    | IDENTIFICAR| NIST IR 8596 ID.RA-04  | Tier 2 | [entrada] | ... | 21 | Recomendada</w:t>
        <w:br/>
        <w:t>Fila 14: IGM-ID-05 | Análisis riesgos cadena suministro IA               | IDENTIFICAR| NIST IR 8596 ID.SC-02  | Tier 1 | [entrada] | ... | 21 | Recomendada</w:t>
        <w:br/>
        <w:t>Fila 15: IGM-PR-01 | IAM específico para sistemas y agentes de IA        | PROTEGER  | NIST IR 8596 PR.AA-01  | Tier 1 | [entrada] | ... | 22 | Recomendada</w:t>
        <w:br/>
        <w:t>Fila 16: IGM-PR-02 | Menor privilegio en agentes IA autónomos            | PROTEGER  | NIST IR 8596 PR.AA-05  | Tier 1 | [entrada] | ... | 22 | Recomendada</w:t>
        <w:br/>
        <w:t>Fila 17: IGM-PR-03 | Cobertura y frecuencia formación amenazas IA        | PROTEGER  | EU AI Act Art. 4       | Tier 1 | [entrada] | ... | 23 | Recomendada</w:t>
        <w:br/>
        <w:t>Fila 18: IGM-PR-04 | Protección datos de entrenamiento e inferencia       | PROTEGER  | EU AI Act Art. 10      | Tier 1 | [entrada] | ... | 21 | Recomendada</w:t>
        <w:br/>
        <w:t>Fila 19: IGM-PR-05 | Control versiones y MLOps seguros                   | PROTEGER  | NIST IR 8596 PR.PS-01  | Tier 2 | [entrada] | ... | 22 | Recomendada</w:t>
        <w:br/>
        <w:t>Fila 20: IGM-PR-06 | Evaluación y control agencia excesiva (LLM06)       | PROTEGER  | OWASP LLM06; EU AI Act | Tier 2 | [entrada] | ... | 21 | Recomendada</w:t>
        <w:br/>
        <w:t>Fila 21: IGM-DE-01 | Monitorización de APIs de IA externas               | DETECTAR  | NIST IR 8596 DE.CM-06  | Tier 1 | [entrada] | ... | 23 | Recomendada</w:t>
        <w:br/>
        <w:t>Fila 22: IGM-DE-02 | Monitorización en tiempo de ejecución de IA         | DETECTAR  | NIST IR 8596 DE.CM-09  | Tier 1 | [entrada] | ... | 23 | Recomendada</w:t>
        <w:br/>
        <w:t>Fila 23: IGM-DE-03 | Frecuencia y método evaluación model drift          | DETECTAR  | EU AI Act Art. 72.1    | Tier 2 | [entrada] | ... | 23 | Recomendada</w:t>
        <w:br/>
        <w:t>Fila 24: IGM-DE-04 | Capacidades SOC para amenazas IA adversariales      | DETECTAR  | MITRE ATLAS v5.5       | Tier 2 | [entrada] | ... | 20 | Condicional</w:t>
        <w:br/>
        <w:t>Fila 25: IGM-DE-05 | Controles detección prompt injection               | DETECTAR  | OWASP LLM01            | Tier 1 | [entrada] | ... | 22 | Recomendada</w:t>
        <w:br/>
        <w:t>Fila 26: IGM-RS-01 | Playbooks respuesta específicos para IA             | RESPONDER | NIST IR 8596 RS.MA-01  | Tier 1 | [entrada] | ... | 25 | Recomendada</w:t>
        <w:br/>
        <w:t>Fila 27: IGM-RS-02 | Capacidad análisis forense de sistemas de IA        | RESPONDER | NIST IR 8596 RS.AN-03  | Tier 2 | [entrada] | ... | 20 | Condicional</w:t>
        <w:br/>
        <w:t>Fila 28: IGM-RS-03 | Conocimiento plazos de notificación IA             | RESPONDER | EU AI Act Art. 73      | Tier 1 | [entrada] | ... | 26 | Recomendada</w:t>
        <w:br/>
        <w:t>Fila 29: IGM-RS-04 | MTTR-AI: Tiempo medio respuesta incidentes IA       | RESPONDER | NIST IR 8596 RS.AN-03  | Tier 1 | [entrada] | ... | 26 | Recomendada</w:t>
        <w:br/>
        <w:t>Fila 30: IGM-RC-01 | Planes recuperación con rollback de modelos         | RECUPERAR | NIST IR 8596 RC.RP-02  | Tier 1 | [entrada] | ... | 22 | Recomendada</w:t>
        <w:br/>
        <w:t>Fila 31: IGM-RC-02 | RTO-AI para sistemas de IA críticos                 | RECUPERAR | NIS2 Art. 21.2.c       | Tier 1 | [entrada] | ... | 25 | Recomendada</w:t>
        <w:br/>
        <w:t>Fila 32: IGM-RC-03 | Revisión decisiones del sistema comprometido        | RECUPERAR | EU AI Act Art. 72.1    | Tier 2 | [entrada] | ... | 21 | Recomendada</w:t>
        <w:br/>
      </w:r>
    </w:p>
    <w:p>
      <w:pPr>
        <w:pStyle w:val="Heading3"/>
        <w:keepNext/>
        <w:keepLines/>
      </w:pPr>
      <w:r>
        <w:t>Validación de Datos en Columna F (Puntuación)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Tipo: Número entero</w:t>
        <w:br/>
        <w:t>Mínimo: 1</w:t>
        <w:br/>
        <w:t>Máximo: 5</w:t>
        <w:br/>
        <w:t>Mensaje de entrada: "Puntúe de 1 (Inexistente) a 5 (Optimizado)"</w:t>
        <w:br/>
        <w:t>Mensaje de error: "Introduzca un valor entre 1 y 5"</w:t>
        <w:br/>
      </w:r>
    </w:p>
    <w:p>
      <w:pPr>
        <w:pStyle w:val="Heading3"/>
        <w:keepNext/>
        <w:keepLines/>
      </w:pPr>
      <w:r>
        <w:t>Formato Condicional en Columna F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 1 → Fondo Rojo (#FF4444), Texto Blanco — Crítico</w:t>
        <w:br/>
        <w:t>= 2 → Fondo Naranja (#FF8C00), Texto Blanco — Inicial</w:t>
        <w:br/>
        <w:t>= 3 → Fondo Amarillo (#FFD700), Texto Negro — Definido</w:t>
        <w:br/>
        <w:t>= 4 → Fondo Verde claro (#90EE90), Texto Negro — Gestionado</w:t>
        <w:br/>
        <w:t>= 5 → Fondo Verde (#228B22), Texto Blanco — Optimizado</w:t>
        <w:br/>
      </w:r>
    </w:p>
    <w:p>
      <w:pPr>
        <w:pStyle w:val="Heading2"/>
        <w:keepNext/>
        <w:keepLines/>
      </w:pPr>
      <w:r>
        <w:rPr>
          <w:color w:val="0066CC"/>
        </w:rPr>
        <w:t>HOJA 4: "IGM-FAICP" (Resultados)</w:t>
      </w:r>
    </w:p>
    <w:p>
      <w:pPr>
        <w:pStyle w:val="Heading3"/>
        <w:keepNext/>
        <w:keepLines/>
      </w:pPr>
      <w:r>
        <w:t>Cálculo por Función</w:t>
      </w:r>
    </w:p>
    <w:p>
      <w:r>
        <w:rPr>
          <w:b/>
        </w:rPr>
        <w:t>Celda F4 — Media GOBERNAR (6 indicadores):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=PROMEDIO(Autoevaluación!F4:F9)</w:t>
        <w:br/>
      </w:r>
    </w:p>
    <w:p>
      <w:r>
        <w:rPr>
          <w:b/>
        </w:rPr>
        <w:t>Celda F5 — Media IDENTIFICAR (5 indicadores):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=PROMEDIO(Autoevaluación!F10:F14)</w:t>
        <w:br/>
      </w:r>
    </w:p>
    <w:p>
      <w:r>
        <w:rPr>
          <w:b/>
        </w:rPr>
        <w:t>Celda F6 — Media PROTEGER (6 indicadores):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=PROMEDIO(Autoevaluación!F15:F20)</w:t>
        <w:br/>
      </w:r>
    </w:p>
    <w:p>
      <w:r>
        <w:rPr>
          <w:b/>
        </w:rPr>
        <w:t>Celda F7 — Media DETECTAR (5 indicadores):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=PROMEDIO(Autoevaluación!F21:F25)</w:t>
        <w:br/>
      </w:r>
    </w:p>
    <w:p>
      <w:r>
        <w:rPr>
          <w:b/>
        </w:rPr>
        <w:t>Celda F8 — Media RESPONDER (4 indicadores):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=PROMEDIO(Autoevaluación!F26:F29)</w:t>
        <w:br/>
      </w:r>
    </w:p>
    <w:p>
      <w:r>
        <w:rPr>
          <w:b/>
        </w:rPr>
        <w:t>Celda F9 — Media RECUPERAR (3 indicadores):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=PROMEDIO(Autoevaluación!F30:F32)</w:t>
        <w:br/>
      </w:r>
    </w:p>
    <w:p>
      <w:pPr>
        <w:pStyle w:val="Heading3"/>
        <w:keepNext/>
        <w:keepLines/>
      </w:pPr>
      <w:r>
        <w:t>Cálculo IGM-FAICP Ponderado</w:t>
      </w:r>
    </w:p>
    <w:p>
      <w:r>
        <w:rPr>
          <w:b/>
        </w:rPr>
        <w:t>Celda F11 — IGM-FAICP Total: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=(F4*0.20)+(F5*0.20)+(F6*0.25)+(F7*0.15)+(F8*0.10)+(F9*0.10)</w:t>
        <w:br/>
      </w:r>
    </w:p>
    <w:p>
      <w:r>
        <w:rPr>
          <w:b/>
        </w:rPr>
        <w:t>Celda G11 — Nivel de Madurez (texto):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=SI(F11&gt;=4.5,"💎 LÍDER",SI(F11&gt;=3.5,"🟢 AVANZADO",SI(F11&gt;=2.5,"🟡 DESARROLLADO",SI(F11&gt;=1.5,"🟠 EMERGENTE","🔴 CRÍTICO"))))</w:t>
        <w:br/>
      </w:r>
    </w:p>
    <w:p>
      <w:r>
        <w:rPr>
          <w:b/>
        </w:rPr>
        <w:t>Celda F13 — Indicadores Tier 1 con puntuación crítica (≤2):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=CONTAR.SI.CONJUNTO(Autoevaluación!E4:E32,"Tier 1",Autoevaluación!F4:F32,"&lt;=2")</w:t>
        <w:br/>
      </w:r>
    </w:p>
    <w:p>
      <w:r>
        <w:rPr>
          <w:b/>
        </w:rPr>
        <w:t>Celda F14 — % de indicadores ≥ 3: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=CONTAR.SI(Autoevaluación!F4:F32,"&gt;=3")/CONTAR(Autoevaluación!F4:F32)</w:t>
        <w:br/>
      </w:r>
    </w:p>
    <w:p>
      <w:r>
        <w:rPr>
          <w:b/>
        </w:rPr>
        <w:t>Celda F15 — Puntuación media indicadores condicionales PRAGMATIC: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=PROMEDIO.SI(Autoevaluación!M4:M32,"Condicional",Autoevaluación!F4:F32)</w:t>
        <w:br/>
      </w:r>
    </w:p>
    <w:p>
      <w:pPr>
        <w:pStyle w:val="Heading3"/>
        <w:keepNext/>
        <w:keepLines/>
      </w:pPr>
      <w:r>
        <w:t>Tabla de Benchmarking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Estimado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Media global (Cisco CRI 2025, "AI Fortification Mature")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1.40 ≈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Cisco CRI 2025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España (2% "Mature" total)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1.40 ≈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Cisco CRI 2025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Objetivo mínimo regulatorio EU AI Act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3.00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EU AI Act 2024/1689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Objetivo recomendado operadores esenciales NIS2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3.50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 2022/2555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Nivel CISO Clase Mundial (Cisco CRI "Mature")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4.50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Cisco CRI 2025</w:t>
            </w:r>
          </w:p>
        </w:tc>
      </w:tr>
    </w:tbl>
    <w:p/>
    <w:p>
      <w:r>
        <w:rPr>
          <w:b/>
        </w:rPr>
        <w:t>Celda H11 — Brecha vs. objetivo mínimo regulatorio: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=3.00-F11</w:t>
        <w:br/>
      </w:r>
    </w:p>
    <w:p>
      <w:r>
        <w:rPr>
          <w:b/>
        </w:rPr>
        <w:t>Celda H12 — Brecha vs. objetivo recomendado NIS2: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=3.50-F11</w:t>
        <w:br/>
      </w:r>
    </w:p>
    <w:p>
      <w:pPr>
        <w:pStyle w:val="Heading3"/>
        <w:keepNext/>
        <w:keepLines/>
      </w:pPr>
      <w:r>
        <w:t>Gráfico Radar Polar (Spider Chart)</w:t>
      </w:r>
    </w:p>
    <w:p>
      <w:r>
        <w:rPr>
          <w:b/>
        </w:rPr>
        <w:t>Datos del gráfico: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Serie: "Mi Organización"</w:t>
        <w:br/>
        <w:t>Categorías: GOBERNAR | IDENTIFICAR | PROTEGER | DETECTAR | RESPONDER | RECUPERAR</w:t>
        <w:br/>
        <w:t>Valores: F4 | F5 | F6 | F7 | F8 | F9</w:t>
        <w:br/>
        <w:br/>
        <w:t>Serie: "Objetivo Mínimo EU AI Act" (línea discontinua)</w:t>
        <w:br/>
        <w:t>Valores: 3 | 3 | 3 | 3 | 3 | 3</w:t>
        <w:br/>
        <w:br/>
        <w:t>Serie: "Objetivo NIS2 Operadores Esenciales" (línea punteada)</w:t>
        <w:br/>
        <w:t>Valores: 3.5 | 3.5 | 3.5 | 3.5 | 3.5 | 3.5</w:t>
        <w:br/>
      </w:r>
    </w:p>
    <w:p>
      <w:r>
        <w:rPr>
          <w:b/>
        </w:rPr>
        <w:t>Configuración:</w:t>
      </w:r>
      <w:r/>
      <w:r>
        <w:br/>
        <w:t>- Tipo: Gráfico de radar</w:t>
      </w:r>
      <w:r/>
      <w:r>
        <w:br/>
        <w:t>- Escala: 0 a 5</w:t>
      </w:r>
      <w:r/>
      <w:r>
        <w:br/>
        <w:t>- Colores: Organización=Azul sólido, EU AI Act=Naranja discontinuo, NIS2=Verde punteado</w:t>
      </w:r>
      <w:r/>
      <w:r>
        <w:br/>
        <w:t>- Título: "Perfil IGM-FAICP — " &amp; 'Datos Organización'!B3</w:t>
      </w:r>
    </w:p>
    <w:p>
      <w:pPr>
        <w:pStyle w:val="Heading2"/>
        <w:keepNext/>
        <w:keepLines/>
      </w:pPr>
      <w:r>
        <w:rPr>
          <w:color w:val="0066CC"/>
        </w:rPr>
        <w:t>HOJA 5: "ROI CIBERSEGURIDAD IA"</w:t>
      </w:r>
    </w:p>
    <w:p>
      <w:pPr>
        <w:pStyle w:val="Heading3"/>
        <w:keepNext/>
        <w:keepLines/>
      </w:pPr>
      <w:r>
        <w:t>Modelo de Entradas (Costes)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Celda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Fórmula/Entrada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Coste incidente IA promedio (€)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Estimado o histórico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Entrada numérica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Incidentes IA esperados sin mejoras (año)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Baseline de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Entrada numérica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Probabilidad de reducción con IGM ≥ 3.5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Reducción probabilística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50% (basado en Cisco CRI data)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Inversión anual en mejora FAICP (€)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Total de medidas de mejora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Entrada numérica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Costes de multas regulatorias (esperado)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P(sanción) × Sanción media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Entrada numérica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Coste de formación y sensibilización (€/año)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Programa de formación 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Entrada numérica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Coste herramientas de monitorización IA (€/año)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SIEM + MLOps + AI-BOM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Entrada numérica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C11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Coste consultoría/auditoría FAICP (€/año)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Evaluación externa + GRC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Entrada numérica</w:t>
            </w:r>
          </w:p>
        </w:tc>
      </w:tr>
    </w:tbl>
    <w:p/>
    <w:p>
      <w:pPr>
        <w:pStyle w:val="Heading3"/>
        <w:keepNext/>
        <w:keepLines/>
      </w:pPr>
      <w:r>
        <w:t>Cálculo ROI</w:t>
      </w:r>
    </w:p>
    <w:p>
      <w:r>
        <w:rPr>
          <w:b/>
        </w:rPr>
        <w:t>Celda C14 — Pérdida esperada sin mejoras (ALE baseline):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=C4*C5</w:t>
        <w:br/>
      </w:r>
    </w:p>
    <w:p>
      <w:r>
        <w:rPr>
          <w:b/>
        </w:rPr>
        <w:t>Celda C15 — Pérdida esperada con IGM ≥ 3.5 (ALE objetivo):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=C4*C5*(1-C6)</w:t>
        <w:br/>
      </w:r>
    </w:p>
    <w:p>
      <w:r>
        <w:rPr>
          <w:b/>
        </w:rPr>
        <w:t>Celda C16 — Reducción de pérdida esperada (ROSI bruto):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=C14-C15</w:t>
        <w:br/>
      </w:r>
    </w:p>
    <w:p>
      <w:r>
        <w:rPr>
          <w:b/>
        </w:rPr>
        <w:t>Celda C17 — Inversión total en mejora FAICP: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=C7+C9+C10+C11</w:t>
        <w:br/>
      </w:r>
    </w:p>
    <w:p>
      <w:r>
        <w:rPr>
          <w:b/>
        </w:rPr>
        <w:t>Celda C18 — ROI Neto (€):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=C16+C8-C17</w:t>
        <w:br/>
      </w:r>
    </w:p>
    <w:p>
      <w:r>
        <w:rPr>
          <w:b/>
        </w:rPr>
        <w:t>Celda C19 — ROI (%):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=C18/C17</w:t>
        <w:br/>
      </w:r>
    </w:p>
    <w:p>
      <w:r>
        <w:rPr>
          <w:b/>
        </w:rPr>
        <w:t>Celda C20 — Período de recuperación de la inversión (meses):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=SI(C16&gt;0,(C17/(C16/12)),"N/A — Revisar supuestos")</w:t>
        <w:br/>
      </w:r>
    </w:p>
    <w:p>
      <w:r>
        <w:rPr>
          <w:b/>
        </w:rPr>
        <w:t>Celda C21 — ROSI (Return on Security Investment):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=(C16-C17)/C17</w:t>
        <w:br/>
      </w:r>
    </w:p>
    <w:p>
      <w:pPr>
        <w:pStyle w:val="Heading3"/>
        <w:keepNext/>
        <w:keepLines/>
      </w:pPr>
      <w:r>
        <w:t>Tabla de Escenarios Automáticos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Actual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Objetivo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Inversión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ROSI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Período Recuperación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Conservador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='Autoevaluación'!F11 actual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C17*0.5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fórmula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fórmula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Base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='Autoevaluación'!F11 actual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C17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fórmula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fórmula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Optimista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='Autoevaluación'!F11 actual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4.5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C17*1.5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fórmula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fórmula</w:t>
            </w:r>
          </w:p>
        </w:tc>
      </w:tr>
    </w:tbl>
    <w:p/>
    <w:p>
      <w:pPr>
        <w:pStyle w:val="Heading3"/>
        <w:keepNext/>
        <w:keepLines/>
      </w:pPr>
      <w:r>
        <w:t>Notas Metodológicas del Modelo ROI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SUPUESTOS INCORPORADOS:</w:t>
        <w:br/>
        <w:t>- La reducción de probabilidad de incidente del 50% para IGM ≥ 3.5 se basa en:</w:t>
        <w:br/>
        <w:t xml:space="preserve">  Cisco CRI 2025: diferencial de incidentes entre niveles "Mature" vs. "Beginner"</w:t>
        <w:br/>
        <w:t xml:space="preserve">  (dato: 87% de organizaciones con bajo IGM sufrieron incidentes vs. ~23% en Mature)</w:t>
        <w:br/>
        <w:br/>
        <w:t>- El coste promedio de incidente IA no está estandarizado globalmente.</w:t>
        <w:br/>
        <w:t xml:space="preserve">  Referencia: IBM Cost of a Data Breach Report 2025 (media global: 4.45M USD)</w:t>
        <w:br/>
        <w:t xml:space="preserve">  Para España, ajustar al índice PPP y al perfil de sector específico.</w:t>
        <w:br/>
        <w:br/>
        <w:t>- Las multas regulatorias esperadas se calculan como:</w:t>
        <w:br/>
        <w:t xml:space="preserve">  P(incidente grave) × P(sanción) × Sanción media del sector</w:t>
        <w:br/>
        <w:br/>
        <w:t>- El modelo NO incluye:</w:t>
        <w:br/>
        <w:t xml:space="preserve">  Costes de reputación / pérdida de clientes</w:t>
        <w:br/>
        <w:t xml:space="preserve">  Costes de interrupción de servicio (solo aplica si se incluyen en C4)</w:t>
        <w:br/>
        <w:t xml:space="preserve">  Beneficios derivados de la habilitación de nuevos casos de uso IA seguros</w:t>
        <w:br/>
        <w:br/>
        <w:t>ADVERTENCIA: Este modelo es orientativo. El ROSI en ciberseguridad tiene</w:t>
        <w:br/>
        <w:t>limitaciones inherentes de medición (Hubbard &amp; Seiersen, 2023). Se recomienda</w:t>
        <w:br/>
        <w:t>complementar con análisis de montaje de Monte Carlo para escenarios de cola.</w:t>
        <w:br/>
      </w:r>
    </w:p>
    <w:p>
      <w:pPr>
        <w:pStyle w:val="Heading2"/>
        <w:keepNext/>
        <w:keepLines/>
      </w:pPr>
      <w:r>
        <w:rPr>
          <w:color w:val="0066CC"/>
        </w:rPr>
        <w:t>HOJA 6: "PLAN DE ACCIÓN"</w:t>
      </w:r>
    </w:p>
    <w:p>
      <w:pPr>
        <w:pStyle w:val="Heading3"/>
        <w:keepNext/>
        <w:keepLines/>
      </w:pPr>
      <w:r>
        <w:t>Tabla Automática de Brechas Prioritarias</w:t>
      </w:r>
    </w:p>
    <w:p>
      <w:r>
        <w:t>La hoja extrae automáticamente los indicadores con puntuación ≤ 3 y los ordena por:</w:t>
      </w:r>
      <w:r/>
      <w:r>
        <w:br/>
        <w:t>1. Tier (Tier 1 primero)</w:t>
      </w:r>
      <w:r/>
      <w:r>
        <w:br/>
        <w:t>2. Puntuación (más baja primero)</w:t>
      </w:r>
      <w:r/>
      <w:r>
        <w:br/>
        <w:t>3. Puntuación PRAGMATIC (más alta primero — mayor valor de mejora)</w:t>
      </w:r>
    </w:p>
    <w:p>
      <w:r>
        <w:rPr>
          <w:b/>
        </w:rPr>
        <w:t>Fórmula de extracción (Excel 365 con FILTRAR):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=ORDENAR(FILTRAR(Autoevaluación!A4:K32, Autoevaluación!F4:F32&lt;=3), {5,6,12}, {1,1,-1})</w:t>
        <w:br/>
      </w:r>
    </w:p>
    <w:p>
      <w:r>
        <w:rPr>
          <w:b/>
        </w:rPr>
        <w:t>Para versiones anteriores de Excel (sin FILTRAR dinámico):</w:t>
      </w:r>
      <w:r/>
      <w:r>
        <w:br/>
        <w:t>Usar tabla dinámica con filtros manuales sobre la hoja Autoevaluación.</w:t>
      </w:r>
    </w:p>
    <w:p>
      <w:pPr>
        <w:pStyle w:val="Heading3"/>
        <w:keepNext/>
        <w:keepLines/>
      </w:pPr>
      <w:r>
        <w:t>Secciones de la Hoja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Sección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Top 5 Brechas Críticas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Indicadores Tier 1 con puntuación ≤ 2, ordenados por impacto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Calendario de Mejora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Gantt simplificado con hitos a 90, 180 y 365 días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Presupuesto por Función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Desglose de la inversión total (C17 de HOJA 5) por función CSF 2.0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Métricas de Seguimiento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KPIs de seguimiento del plan de acción (% completado, fechas objetivo)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HOJA 7: "BENCHMARKING CCAA" (Opcional)</w:t>
      </w:r>
    </w:p>
    <w:p>
      <w:pPr>
        <w:pStyle w:val="Heading3"/>
        <w:keepNext/>
        <w:keepLines/>
      </w:pPr>
      <w:r>
        <w:t>Estructura para Comparativa Territorial</w:t>
      </w:r>
    </w:p>
    <w:p>
      <w:r>
        <w:t>Si la organización forma parte de un programa de benchmarking sectorial o autonómico (coordinado por INCIBE o el CCAA correspondiente), esta hoja permite comparar el IGM-FAICP propio con datos agregados del sector/CCAA.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Función CSF 2.0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IGM Propio (vinculado desde HOJA 4)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Media sectorial (dato externo — introducir manualmente)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Media CCAA (dato externo — introducir manualmente)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Media nacional (dato externo — basado en INCIBE/AESIA publicaciones)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F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Percentil de la organización en el sector</w:t>
            </w:r>
          </w:p>
        </w:tc>
      </w:tr>
    </w:tbl>
    <w:p/>
    <w:p>
      <w:r>
        <w:rPr>
          <w:b/>
        </w:rPr>
        <w:t>Gráfico de barras comparativo:</w:t>
      </w:r>
      <w:r>
        <w:t xml:space="preserve"> Barras agrupadas por función, con 4 series de datos (propio + 3 benchmarks).</w:t>
      </w:r>
    </w:p>
    <w:p>
      <w:pPr>
        <w:pStyle w:val="Heading2"/>
        <w:keepNext/>
        <w:keepLines/>
      </w:pPr>
      <w:r>
        <w:rPr>
          <w:color w:val="0066CC"/>
        </w:rPr>
        <w:t>Especificaciones Técnicas de Implementación</w:t>
      </w:r>
    </w:p>
    <w:p>
      <w:pPr>
        <w:pStyle w:val="Heading3"/>
        <w:keepNext/>
        <w:keepLines/>
      </w:pPr>
      <w:r>
        <w:t>Protección de la Hoja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Hojas protegidas (sin contraseña de edición — solo protección estructural):</w:t>
        <w:br/>
        <w:t>- INSTRUCCIONES: completamente bloqueada</w:t>
        <w:br/>
        <w:t>- AUTOEVALUACIÓN: bloqueadas columnas A-E y H-M; editables F y G solamente</w:t>
        <w:br/>
        <w:t>- IGM-FAICP: completamente bloqueada (solo lectura de fórmulas)</w:t>
        <w:br/>
        <w:t>- PLAN DE ACCIÓN: tabla dinámica + campos editables de fechas y responsables</w:t>
        <w:br/>
        <w:br/>
        <w:t>Hojas editables por el usuario:</w:t>
        <w:br/>
        <w:t>- DATOS ORGANIZACIÓN: todos los campos de entrada</w:t>
        <w:br/>
        <w:t>- ROI CIBERSEGURIDAD IA: todos los campos de entrada numérica</w:t>
        <w:br/>
        <w:t>- BENCHMARKING CCAA: columnas C, D, E (datos externos)</w:t>
        <w:br/>
      </w:r>
    </w:p>
    <w:p>
      <w:pPr>
        <w:pStyle w:val="Heading3"/>
        <w:keepNext/>
        <w:keepLines/>
      </w:pPr>
      <w:r>
        <w:t>Nombres de Rango Definidos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IGM_GV = 'IGM-FAICP'!F4</w:t>
        <w:br/>
        <w:t>IGM_ID = 'IGM-FAICP'!F5</w:t>
        <w:br/>
        <w:t>IGM_PR = 'IGM-FAICP'!F6</w:t>
        <w:br/>
        <w:t>IGM_DE = 'IGM-FAICP'!F7</w:t>
        <w:br/>
        <w:t>IGM_RS = 'IGM-FAICP'!F8</w:t>
        <w:br/>
        <w:t>IGM_RC = 'IGM-FAICP'!F9</w:t>
        <w:br/>
        <w:t>IGM_TOTAL = 'IGM-FAICP'!F11</w:t>
        <w:br/>
        <w:t>NIVEL_MADUREZ = 'IGM-FAICP'!G11</w:t>
        <w:br/>
      </w:r>
    </w:p>
    <w:p>
      <w:pPr>
        <w:pStyle w:val="Heading3"/>
        <w:keepNext/>
        <w:keepLines/>
      </w:pPr>
      <w:r>
        <w:t>Compatibilidad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Microsoft Excel: 2019 y superior (funcionalidades completas)</w:t>
        <w:br/>
        <w:t>Microsoft Excel: 2016 (compatible con limitaciones: sin función FILTRAR dinámica)</w:t>
        <w:br/>
        <w:t>Google Sheets: Compatible (traducir funciones SI→IF, PROMEDIO→AVERAGE, etc.)</w:t>
        <w:br/>
        <w:t>LibreOffice Calc: Compatible con adaptaciones menores</w:t>
        <w:br/>
      </w:r>
    </w:p>
    <w:p>
      <w:r>
        <w:rPr>
          <w:i/>
        </w:rPr>
        <w:t>Documento parte del Kit FAICP 2025-2026 — Versión 1.0 — Abril 2026</w:t>
      </w:r>
      <w:r/>
      <w:r>
        <w:br/>
      </w:r>
      <w:r>
        <w:rPr>
          <w:i/>
        </w:rPr>
        <w:t>La implementación real en formato .xlsx requiere trasladar estas especificaciones a la herramienta de hojas de cálculo elegida siguiendo las instrucciones de cada sección.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