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📊 PLANTILLA DE CÁLCULO IGM Y ROI</w:t>
      </w:r>
    </w:p>
    <w:p>
      <w:pPr>
        <w:pStyle w:val="Heading2"/>
        <w:keepNext/>
        <w:keepLines/>
      </w:pPr>
      <w:r>
        <w:rPr>
          <w:color w:val="0066CC"/>
        </w:rPr>
        <w:t>Encuesta FAICP 2025–2026: Especificación para Excel / LibreOffice Calc / Google Sheets</w:t>
      </w:r>
    </w:p>
    <w:p>
      <w:r>
        <w:rPr>
          <w:i/>
        </w:rPr>
        <w:t>"Lo que no se mide no se gestiona. Lo que se mide sin fórmula no se compara. Y lo que se compara sin contexto produce ansiedad bien estructurada."</w:t>
      </w:r>
    </w:p>
    <w:p>
      <w:r>
        <w:rPr>
          <w:b/>
        </w:rPr>
        <w:t>Versión:</w:t>
      </w:r>
      <w:r>
        <w:t xml:space="preserve"> 1.0 — Abril 2026 | </w:t>
      </w:r>
      <w:r>
        <w:rPr>
          <w:b/>
        </w:rPr>
        <w:t>Formato destino:</w:t>
      </w:r>
      <w:r>
        <w:t xml:space="preserve"> .xlsx / LibreOffice / Google Sheets</w:t>
      </w:r>
    </w:p>
    <w:p>
      <w:pPr>
        <w:pStyle w:val="Heading2"/>
        <w:keepNext/>
        <w:keepLines/>
      </w:pPr>
      <w:r>
        <w:rPr>
          <w:color w:val="0066CC"/>
        </w:rPr>
        <w:t>ESTRUCTURA DEL LIBRO DE TRABAJO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📁 FAICP_IGM_ROI_Calculator_v1.xlsx</w:t>
        <w:br/>
        <w:t>├── 📋 HOJA 1: Datos_Encuesta       → Entrada de datos crudos por organización</w:t>
        <w:br/>
        <w:t>├── 📊 HOJA 2: Calculo_IGM          → Cálculo automático del IGM-FAICP</w:t>
        <w:br/>
        <w:t>├── 💰 HOJA 3: Calculo_ROI          → Modelo ROSI para inversiones ciber-IA</w:t>
        <w:br/>
        <w:t>├── 🗺️  HOJA 4: Benchmark_CCAA      → Comparativa territorial interactiva</w:t>
        <w:br/>
        <w:t>├── 📈 HOJA 5: Dashboard            → Panel de indicadores consolidado</w:t>
        <w:br/>
        <w:t>└── 📖 HOJA 6: Instrucciones        → Guía de uso y glosario</w:t>
        <w:br/>
      </w:r>
    </w:p>
    <w:p>
      <w:pPr>
        <w:pStyle w:val="Heading2"/>
        <w:keepNext/>
        <w:keepLines/>
      </w:pPr>
      <w:r>
        <w:rPr>
          <w:color w:val="0066CC"/>
        </w:rPr>
        <w:t>HOJA 1 — DATOS_ENCUESTA</w:t>
      </w:r>
    </w:p>
    <w:p>
      <w:pPr>
        <w:pStyle w:val="Heading3"/>
        <w:keepNext/>
        <w:keepLines/>
      </w:pPr>
      <w:r>
        <w:t>Estructura de columnas (una fila = una organización)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Col.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ID_Org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Numérico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1, 2, 3... (anonimizado)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Fecha_Respuesta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Fecha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DD/MM/AAAA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Cargo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Categórico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1-10 (ver P0.1)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CCAA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Categórico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1-19 (ver P0.2)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Sector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Categórico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1-15 (ver P0.3)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F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Tamaño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Ordinal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1-6 (ver P0.4)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NIS2_Status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Categórico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1-4 (ver P0.5)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Presupuesto_TIC_Pct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Ordinal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1-6 (ver P0.6)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I–N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P1.1–P1.6 (Gobernar)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Ordinal/Convertido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1-5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O–S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P2.1–P2.5 (Identificar)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Ordinal/Convertido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1-5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T–Y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P3.1–P3.6 (Proteger)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Ordinal/Convertido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1-5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Z–AD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P4.1–P4.5 (Detectar)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Ordinal/Convertido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1-5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AE–AH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P5.1–P5.4 (Responder)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Ordinal/Convertido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1-5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AI–AK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P6.1–P6.3 (Recuperar)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Ordinal/Convertido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1-5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AL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P10.1 Madurez_Autopercibida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Numérico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1-10 (÷2 para escala 1-5)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HOJA 2 — CALCULO_IGM</w:t>
      </w:r>
    </w:p>
    <w:p>
      <w:pPr>
        <w:pStyle w:val="Heading3"/>
        <w:keepNext/>
        <w:keepLines/>
      </w:pPr>
      <w:r>
        <w:t>Fórmulas por Sub-índice</w:t>
      </w:r>
    </w:p>
    <w:p>
      <w:r>
        <w:rPr>
          <w:b/>
        </w:rPr>
        <w:t>Sub-índice Gobernar (IGM_GV) — Peso: 0.20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=PROMEDIO(Datos_Encuesta!I[fila]:Datos_Encuesta!N[fila])</w:t>
        <w:br/>
      </w:r>
    </w:p>
    <w:p>
      <w:r>
        <w:rPr>
          <w:b/>
        </w:rPr>
        <w:t>Sub-índice Identificar (IGM_ID) — Peso: 0.20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=PROMEDIO(Datos_Encuesta!O[fila]:Datos_Encuesta!S[fila])</w:t>
        <w:br/>
      </w:r>
    </w:p>
    <w:p>
      <w:r>
        <w:rPr>
          <w:b/>
        </w:rPr>
        <w:t>Sub-índice Proteger (IGM_PR) — Peso: 0.25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=PROMEDIO(Datos_Encuesta!T[fila]:Datos_Encuesta!Y[fila])</w:t>
        <w:br/>
      </w:r>
    </w:p>
    <w:p>
      <w:r>
        <w:rPr>
          <w:b/>
        </w:rPr>
        <w:t>Sub-índice Detectar (IGM_DE) — Peso: 0.15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=PROMEDIO(Datos_Encuesta!Z[fila]:Datos_Encuesta!AD[fila])</w:t>
        <w:br/>
      </w:r>
    </w:p>
    <w:p>
      <w:r>
        <w:rPr>
          <w:b/>
        </w:rPr>
        <w:t>Sub-índice Responder (IGM_RS) — Peso: 0.10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=PROMEDIO(Datos_Encuesta!AE[fila]:Datos_Encuesta!AH[fila])</w:t>
        <w:br/>
      </w:r>
    </w:p>
    <w:p>
      <w:r>
        <w:rPr>
          <w:b/>
        </w:rPr>
        <w:t>Sub-índice Recuperar (IGM_RC) — Peso: 0.10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=PROMEDIO(Datos_Encuesta!AI[fila]:Datos_Encuesta!AK[fila])</w:t>
        <w:br/>
      </w:r>
    </w:p>
    <w:p>
      <w:r>
        <w:rPr>
          <w:b/>
        </w:rPr>
        <w:t>IGM-FAICP Total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=(0.20*IGM_GV)+(0.20*IGM_ID)+(0.25*IGM_PR)+(0.15*IGM_DE)+(0.10*IGM_RS)+(0.10*IGM_RC)</w:t>
        <w:br/>
      </w:r>
    </w:p>
    <w:p>
      <w:r>
        <w:rPr>
          <w:b/>
        </w:rPr>
        <w:t>Nivel de Madurez (etiqueta)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=SI(IGM_TOTAL&lt;1.5,"CRÍTICO",SI(IGM_TOTAL&lt;2.5,"EMERGENTE",SI(IGM_TOTAL&lt;3.5,"DESARROLLADO",SI(IGM_TOTAL&lt;4.5,"AVANZADO","LÍDER"))))</w:t>
        <w:br/>
      </w:r>
    </w:p>
    <w:p>
      <w:r>
        <w:rPr>
          <w:b/>
        </w:rPr>
        <w:t>Brecha Percepción-Realidad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=(Datos_Encuesta!AL[fila]/2) - IGM_TOTAL</w:t>
        <w:br/>
      </w:r>
    </w:p>
    <w:p>
      <w:r>
        <w:rPr>
          <w:i/>
        </w:rPr>
        <w:t>Valores positivos = sobreestimación (lo más habitual)</w:t>
      </w:r>
    </w:p>
    <w:p>
      <w:pPr>
        <w:pStyle w:val="Heading3"/>
        <w:keepNext/>
        <w:keepLines/>
      </w:pPr>
      <w:r>
        <w:t>Indicadores Agregados (análisis muestral)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IGM_Media_Nacional   = PROMEDIO([rango IGM_TOTAL])</w:t>
        <w:br/>
        <w:t>IGM_Mediana_Nacional = MEDIANA([rango IGM_TOTAL])</w:t>
        <w:br/>
        <w:t>IGM_DesvTip          = DESVEST([rango IGM_TOTAL])</w:t>
        <w:br/>
        <w:t>IGM_IC95_Superior    = Media + (1.96 * DesvTip / RAIZ(N))</w:t>
        <w:br/>
        <w:t>IGM_IC95_Inferior    = Media - (1.96 * DesvTip / RAIZ(N))</w:t>
        <w:br/>
        <w:t>IGM_Por_CCAA         = PROMEDIO.SI(col_CCAA, [código_CCAA], [rango IGM_TOTAL])</w:t>
        <w:br/>
        <w:t>IGM_Por_Sector       = PROMEDIO.SI(col_Sector, [código_sector], [rango IGM_TOTAL])</w:t>
        <w:br/>
      </w:r>
    </w:p>
    <w:p>
      <w:pPr>
        <w:pStyle w:val="Heading2"/>
        <w:keepNext/>
        <w:keepLines/>
      </w:pPr>
      <w:r>
        <w:rPr>
          <w:color w:val="0066CC"/>
        </w:rPr>
        <w:t>HOJA 3 — CALCULO_ROI (Metodología ROSI + FAIR)</w:t>
      </w:r>
    </w:p>
    <w:p>
      <w:pPr>
        <w:pStyle w:val="Heading3"/>
        <w:keepNext/>
        <w:keepLines/>
      </w:pPr>
      <w:r>
        <w:t>Sección A: Cuantificación del Riesgo Base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Fórmula / Input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LEF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Frecuencia anual de incidentes IA relevantes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Input manual (ej: 0.5 = 1 cada 2 años)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SLEF_IA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Frecuencia ajustada por factor de amenaza IA (+26% INCIBE 2025)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=LEF * 1.26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LM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Coste estimado por incidente (€)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Input manual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ALE_Base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Annual Loss Expectancy sin controles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=LEF * LM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ALE_IA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ALE con factor de amenaza IA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=SLEF_IA * LM</w:t>
            </w:r>
          </w:p>
        </w:tc>
      </w:tr>
    </w:tbl>
    <w:p/>
    <w:p>
      <w:r>
        <w:rPr>
          <w:b/>
        </w:rPr>
        <w:t>Coste de referencia (IBM Cost of Data Breach 2025):</w:t>
      </w:r>
      <w:r/>
      <w:r>
        <w:br/>
        <w:t>- Enterprise (&gt;1.000 emp.): ~4.9M$ / incidente</w:t>
      </w:r>
      <w:r/>
      <w:r>
        <w:br/>
        <w:t>- PYME (&lt;50 emp.): ~120.000€ / incidente</w:t>
      </w:r>
      <w:r/>
      <w:r>
        <w:br/>
        <w:t>- Premium IA adversarial (ENISA estimación): multiplicar × 1.15</w:t>
      </w:r>
    </w:p>
    <w:p>
      <w:pPr>
        <w:pStyle w:val="Heading3"/>
        <w:keepNext/>
        <w:keepLines/>
      </w:pPr>
      <w:r>
        <w:t>Sección B: Riesgo Residual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Fórmula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Risk_Reduction_Factor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Factor de reducción por nivel IGM (tabla lookup)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Ver tabla abajo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ALE_Residual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ALE tras controles FAICP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=ALE_IA * (1 - Risk_Reduction_Factor)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Riesgo_Evitado_Anual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Pérdida evitada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=ALE_IA - ALE_Residual</w:t>
            </w:r>
          </w:p>
        </w:tc>
      </w:tr>
    </w:tbl>
    <w:p/>
    <w:p>
      <w:r>
        <w:rPr>
          <w:b/>
        </w:rPr>
        <w:t>Tabla IGM → Factor de Reducción de Riesgo</w:t>
      </w:r>
      <w:r>
        <w:t xml:space="preserve"> </w:t>
      </w:r>
      <w:r>
        <w:rPr>
          <w:i/>
        </w:rPr>
        <w:t>(basada en Ponemon/IBM)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Rango IGM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Factor Reducción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1.0 – 1.5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Crítico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1.5 – 2.5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Emergente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15%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2.5 – 3.5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Desarrollado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35%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3.5 – 4.5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Avanzado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55%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4.5 – 5.0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Líder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75%</w:t>
            </w:r>
          </w:p>
        </w:tc>
      </w:tr>
    </w:tbl>
    <w:p/>
    <w:p>
      <w:pPr>
        <w:pStyle w:val="Heading3"/>
        <w:keepNext/>
        <w:keepLines/>
      </w:pPr>
      <w:r>
        <w:t>Sección C: Cálculo ROSI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Fórmula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Inversion_Ciber_IA_Anual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Inversión anual total en controles FAICP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Input manual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ROSI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Return on Security Investment (%)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=(Riesgo_Evitado - Inversion) / Inversion * 100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Payback_Años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Años para recuperar inversión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=Inversion / Riesgo_Evitado_Anual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NPV_5años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Valor Actual Neto a 5 años (descuento 8%)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=VNA(0.08, [Riesgo_Evitado × 5 celdas]) - Inversion</w:t>
            </w:r>
          </w:p>
        </w:tc>
      </w:tr>
    </w:tbl>
    <w:p/>
    <w:p>
      <w:r>
        <w:rPr>
          <w:b/>
        </w:rPr>
        <w:t>Benchmarks ROSI sector seguridad (Ponemon Institute):</w:t>
      </w:r>
      <w:r>
        <w:t xml:space="preserve"> 138%–215%</w:t>
      </w:r>
    </w:p>
    <w:p>
      <w:pPr>
        <w:pStyle w:val="Heading2"/>
        <w:keepNext/>
        <w:keepLines/>
      </w:pPr>
      <w:r>
        <w:rPr>
          <w:color w:val="0066CC"/>
        </w:rPr>
        <w:t>HOJA 4 — BENCHMARK_CCAA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Filas:    17 CCAA + Ceuta/Melilla</w:t>
        <w:br/>
        <w:t>Columnas: IGM_GV | IGM_ID | IGM_PR | IGM_DE | IGM_RS | IGM_RC | IGM_Total | N_Orgs | Gap_vs_Nacional | Ranking</w:t>
        <w:br/>
      </w:r>
    </w:p>
    <w:p>
      <w:r>
        <w:rPr>
          <w:b/>
        </w:rPr>
        <w:t>Formato condicional (semáforo automático):</w:t>
      </w:r>
      <w:r/>
      <w:r>
        <w:br/>
        <w:t>- 🔴 Rojo: IGM &lt; 2.5 (Crítico/Emergente)</w:t>
      </w:r>
      <w:r/>
      <w:r>
        <w:br/>
        <w:t>- 🟡 Amarillo: IGM 2.5–3.5 (Desarrollado)</w:t>
      </w:r>
      <w:r/>
      <w:r>
        <w:br/>
        <w:t>- 🟢 Verde: IGM &gt; 3.5 (Avanzado/Líder)</w:t>
      </w:r>
    </w:p>
    <w:p>
      <w:pPr>
        <w:pStyle w:val="Heading2"/>
        <w:keepNext/>
        <w:keepLines/>
      </w:pPr>
      <w:r>
        <w:rPr>
          <w:color w:val="0066CC"/>
        </w:rPr>
        <w:t>HOJA 5 — DASHBOARD (Panel KPI)</w:t>
      </w:r>
    </w:p>
    <w:p>
      <w:r>
        <w:rPr>
          <w:b/>
        </w:rPr>
        <w:t>Gráficos recomendados:</w:t>
      </w:r>
      <w:r/>
      <w:r>
        <w:br/>
        <w:t xml:space="preserve">1. </w:t>
      </w:r>
      <w:r>
        <w:rPr>
          <w:b/>
        </w:rPr>
        <w:t>Radar (spider chart)</w:t>
      </w:r>
      <w:r>
        <w:t xml:space="preserve"> — 6 funciones FAICP vs. benchmarks nacionales e internacionales</w:t>
      </w:r>
      <w:r/>
      <w:r>
        <w:br/>
        <w:t xml:space="preserve">2. </w:t>
      </w:r>
      <w:r>
        <w:rPr>
          <w:b/>
        </w:rPr>
        <w:t>Mapa coroplético</w:t>
      </w:r>
      <w:r>
        <w:t xml:space="preserve"> — IGM por CCAA (Power Map o Bing Maps)</w:t>
      </w:r>
      <w:r/>
      <w:r>
        <w:br/>
        <w:t xml:space="preserve">3. </w:t>
      </w:r>
      <w:r>
        <w:rPr>
          <w:b/>
        </w:rPr>
        <w:t>Barras apiladas</w:t>
      </w:r>
      <w:r>
        <w:t xml:space="preserve"> — Distribución de niveles (Crítico/Emergente/Desarrollado/Avanzado/Líder) por sector</w:t>
      </w:r>
      <w:r/>
      <w:r>
        <w:br/>
        <w:t xml:space="preserve">4. </w:t>
      </w:r>
      <w:r>
        <w:rPr>
          <w:b/>
        </w:rPr>
        <w:t>Scatter plot</w:t>
      </w:r>
      <w:r>
        <w:t xml:space="preserve"> — Presupuesto ciber (eje X) vs. IGM (eje Y) con línea de tendencia</w:t>
      </w:r>
      <w:r/>
      <w:r>
        <w:br/>
        <w:t xml:space="preserve">5. </w:t>
      </w:r>
      <w:r>
        <w:rPr>
          <w:b/>
        </w:rPr>
        <w:t>Waterfall chart</w:t>
      </w:r>
      <w:r>
        <w:t xml:space="preserve"> — Brechas vs. nivel objetivo por función</w:t>
      </w:r>
      <w:r/>
      <w:r>
        <w:br/>
        <w:t xml:space="preserve">6. </w:t>
      </w:r>
      <w:r>
        <w:rPr>
          <w:b/>
        </w:rPr>
        <w:t>Velocímetro</w:t>
      </w:r>
      <w:r>
        <w:t xml:space="preserve"> — IGM Nacional como indicador principal</w:t>
      </w:r>
    </w:p>
    <w:p>
      <w:pPr>
        <w:pStyle w:val="Heading2"/>
        <w:keepNext/>
        <w:keepLines/>
      </w:pPr>
      <w:r>
        <w:rPr>
          <w:color w:val="0066CC"/>
        </w:rPr>
        <w:t>HOJA 6 — INSTRUCCIONES</w:t>
      </w:r>
    </w:p>
    <w:p>
      <w:pPr>
        <w:pStyle w:val="Heading3"/>
        <w:keepNext/>
        <w:keepLines/>
      </w:pPr>
      <w:r>
        <w:t>Pasos de uso</w:t>
      </w:r>
    </w:p>
    <w:p>
      <w:pPr>
        <w:pStyle w:val="ListNumber"/>
        <w:keepLines w:val="1"/>
        <w:keepNext w:val="1"/>
        <w:widowControl w:val="1"/>
      </w:pPr>
      <w:r>
        <w:t>Exportar respuestas de plataforma de encuesta (CSV) y pegar en Hoja 1</w:t>
      </w:r>
    </w:p>
    <w:p>
      <w:pPr>
        <w:pStyle w:val="ListNumber"/>
        <w:keepLines w:val="1"/>
        <w:keepNext w:val="1"/>
        <w:widowControl w:val="1"/>
      </w:pPr>
      <w:r>
        <w:t>Aplicar tabla de conversión para preguntas categóricas a valores numéricos 1-5</w:t>
      </w:r>
    </w:p>
    <w:p>
      <w:pPr>
        <w:pStyle w:val="ListNumber"/>
        <w:keepLines w:val="1"/>
        <w:keepNext w:val="1"/>
        <w:widowControl w:val="1"/>
      </w:pPr>
      <w:r>
        <w:t>Ejecutar macro de validación para detectar valores fuera de rango</w:t>
      </w:r>
    </w:p>
    <w:p>
      <w:pPr>
        <w:pStyle w:val="ListNumber"/>
        <w:keepLines w:val="1"/>
        <w:keepNext w:val="1"/>
        <w:widowControl w:val="1"/>
      </w:pPr>
      <w:r>
        <w:t>Los cálculos IGM (Hoja 2) son automáticos una vez importados los datos</w:t>
      </w:r>
    </w:p>
    <w:p>
      <w:pPr>
        <w:pStyle w:val="ListNumber"/>
        <w:keepLines w:val="1"/>
        <w:keepNext w:val="1"/>
        <w:widowControl w:val="1"/>
      </w:pPr>
      <w:r>
        <w:t>Completar manualmente en Hoja 3: LEF, LM e Inversión_Ciber_IA_Anual</w:t>
      </w:r>
    </w:p>
    <w:p>
      <w:pPr>
        <w:pStyle w:val="ListNumber"/>
        <w:keepLines w:val="1"/>
        <w:widowControl w:val="1"/>
      </w:pPr>
      <w:r>
        <w:t>Presionar F9 para refrescar tablas dinámicas y gráficos del Dashboard</w:t>
      </w:r>
    </w:p>
    <w:p>
      <w:pPr>
        <w:pStyle w:val="Heading3"/>
        <w:keepNext/>
        <w:keepLines/>
      </w:pPr>
      <w:r>
        <w:t>Macro de validación (VBA)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Sub ValidarDatosEncuesta()</w:t>
        <w:br/>
        <w:t xml:space="preserve">    Dim ws As Worksheet</w:t>
        <w:br/>
        <w:t xml:space="preserve">    Dim errores As Integer</w:t>
        <w:br/>
        <w:t xml:space="preserve">    errores = 0</w:t>
        <w:br/>
        <w:t xml:space="preserve">    Set ws = Sheets("Datos_Encuesta")</w:t>
        <w:br/>
        <w:t xml:space="preserve">    For i = 2 To ws.UsedRange.Rows.Count</w:t>
        <w:br/>
        <w:t xml:space="preserve">        For j = 9 To 37  ' Columnas I a AK (preguntas secciones 1-6)</w:t>
        <w:br/>
        <w:t xml:space="preserve">            If ws.Cells(i, j).Value &lt; 1 Or ws.Cells(i, j).Value &gt; 5 Then</w:t>
        <w:br/>
        <w:t xml:space="preserve">                ws.Cells(i, j).Interior.Color = RGB(255, 0, 0)</w:t>
        <w:br/>
        <w:t xml:space="preserve">                errores = errores + 1</w:t>
        <w:br/>
        <w:t xml:space="preserve">            End If</w:t>
        <w:br/>
        <w:t xml:space="preserve">        Next j</w:t>
        <w:br/>
        <w:t xml:space="preserve">    Next i</w:t>
        <w:br/>
        <w:t xml:space="preserve">    MsgBox "Validación completa. Valores fuera de rango: " &amp; errores</w:t>
        <w:br/>
        <w:t>End Sub</w:t>
        <w:br/>
      </w:r>
    </w:p>
    <w:p>
      <w:r>
        <w:rPr>
          <w:i/>
        </w:rPr>
        <w:t>Kit FAICP 2025–2026 · Documento (e) · Versión 1.0 · Abril 2026</w:t>
      </w:r>
      <w:r/>
      <w:r>
        <w:br/>
      </w:r>
      <w:r>
        <w:rPr>
          <w:i/>
        </w:rPr>
        <w:t>ROSI: FAIR Institute, Ponemon Institute, ISO/IEC 27005, ENISA Risk Management Framework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