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— FAICP</w:t>
      </w:r>
    </w:p>
    <w:p>
      <w:pPr>
        <w:pStyle w:val="Heading2"/>
        <w:keepNext/>
        <w:keepLines/>
      </w:pPr>
      <w:r>
        <w:rPr>
          <w:color w:val="0066CC"/>
        </w:rPr>
        <w:t>Especificación completa de diapositivas para la presentación del IGM-FAICP al Consejo de Administración y al CISO</w:t>
      </w:r>
    </w:p>
    <w:p>
      <w:r>
        <w:rPr>
          <w:b/>
        </w:rPr>
        <w:t>Versión:</w:t>
      </w:r>
      <w:r>
        <w:t xml:space="preserve"> 1.0 — Abril 2026</w:t>
      </w:r>
      <w:r/>
      <w:r>
        <w:br/>
      </w:r>
      <w:r>
        <w:rPr>
          <w:b/>
        </w:rPr>
        <w:t>Formato destino:</w:t>
      </w:r>
      <w:r>
        <w:t xml:space="preserve"> Microsoft PowerPoint / Google Slides / Keynote</w:t>
      </w:r>
      <w:r/>
      <w:r>
        <w:br/>
      </w:r>
      <w:r>
        <w:rPr>
          <w:b/>
        </w:rPr>
        <w:t>Duración estimada de la presentación:</w:t>
      </w:r>
      <w:r>
        <w:t xml:space="preserve"> 20-30 minutos (modo ejecutivo) o 45-60 minutos (modo técnico ampliado)</w:t>
      </w:r>
      <w:r/>
      <w:r>
        <w:br/>
      </w:r>
      <w:r>
        <w:rPr>
          <w:b/>
        </w:rPr>
        <w:t>Audiencias:</w:t>
      </w:r>
      <w:r>
        <w:t xml:space="preserve"> Consejo de Administración, Comité de Riesgos, CISO, DPO, Reguladores (AESIA, CCN)</w:t>
      </w:r>
    </w:p>
    <w:p>
      <w:pPr>
        <w:pStyle w:val="Heading2"/>
        <w:keepNext/>
        <w:keepLines/>
      </w:pPr>
      <w:r>
        <w:rPr>
          <w:color w:val="0066CC"/>
        </w:rPr>
        <w:t>DISEÑO VISUAL GLOBAL</w:t>
      </w:r>
    </w:p>
    <w:p>
      <w:pPr>
        <w:pStyle w:val="Heading3"/>
        <w:keepNext/>
        <w:keepLines/>
      </w:pPr>
      <w:r>
        <w:t>Paleta de Colores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Color primario (fondo diapositivas clave)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Azul corporativo oscuro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#0D2137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Color secundario (acentos)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Azul 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#1B6CA8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Alerta crítica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#E03434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Alerta media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Naranja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#E8952A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Bien / Objetivo alcanzado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Verde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#2E8B57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Neutro / En progreso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Gris claro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#A9B4C2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Fondo diapositivas estándar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Blanco roto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#F8F9FA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Texto principal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Casi negro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#1A1A2E</w:t>
            </w:r>
          </w:p>
        </w:tc>
      </w:tr>
    </w:tbl>
    <w:p/>
    <w:p>
      <w:pPr>
        <w:pStyle w:val="Heading3"/>
        <w:keepNext/>
        <w:keepLines/>
      </w:pPr>
      <w:r>
        <w:t>Tipografía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Títulos de sección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Montserrat Bold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36-44 pt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Títulos de diapositiva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Montserrat SemiBold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24-28 pt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Cuerpo de texto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Open Sans Regular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14-16 pt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Datos y métricas destacadas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Montserrat Bold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48-72 pt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Pies de página / notas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Open Sans Light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10 pt</w:t>
            </w:r>
          </w:p>
        </w:tc>
      </w:tr>
    </w:tbl>
    <w:p/>
    <w:p>
      <w:r>
        <w:rPr>
          <w:i/>
        </w:rPr>
        <w:t>(Alternativas: Calibri Bold para títulos, Calibri Regular para cuerpo — disponibles en todas las instalaciones de Office)</w:t>
      </w:r>
    </w:p>
    <w:p>
      <w:pPr>
        <w:pStyle w:val="Heading3"/>
        <w:keepNext/>
        <w:keepLines/>
      </w:pPr>
      <w:r>
        <w:t>Elementos Fijos en Todas las Diapositivas</w:t>
      </w:r>
    </w:p>
    <w:p>
      <w:pPr>
        <w:pStyle w:val="ListBullet"/>
        <w:keepLines w:val="1"/>
        <w:keepNext w:val="1"/>
        <w:widowControl w:val="1"/>
      </w:pPr>
      <w:r>
        <w:t>Encabezado superior izquierdo: Logo de la organización (placeholder)</w:t>
      </w:r>
    </w:p>
    <w:p>
      <w:pPr>
        <w:pStyle w:val="ListBullet"/>
        <w:keepLines w:val="1"/>
        <w:keepNext w:val="1"/>
        <w:widowControl w:val="1"/>
      </w:pPr>
      <w:r>
        <w:t>Encabezado superior derecho: IGM-FAICP 2025-2026 | [Nombre organización] | Confidencial</w:t>
      </w:r>
    </w:p>
    <w:p>
      <w:pPr>
        <w:pStyle w:val="ListBullet"/>
        <w:keepLines w:val="1"/>
        <w:keepNext w:val="1"/>
        <w:widowControl w:val="1"/>
      </w:pPr>
      <w:r>
        <w:t>Pie de página izquierdo: Marcos: NIST IR 8596 · EU AI Act · GQM + PRAGMATIC</w:t>
      </w:r>
    </w:p>
    <w:p>
      <w:pPr>
        <w:pStyle w:val="ListBullet"/>
        <w:keepLines w:val="1"/>
        <w:widowControl w:val="1"/>
      </w:pPr>
      <w:r>
        <w:t>Pie de página derecho: Número de diapositiva y fecha</w:t>
      </w:r>
    </w:p>
    <w:p>
      <w:pPr>
        <w:pStyle w:val="Heading2"/>
        <w:keepNext/>
        <w:keepLines/>
      </w:pPr>
      <w:r>
        <w:rPr>
          <w:color w:val="0066CC"/>
        </w:rPr>
        <w:t>ESTRUCTURA DE DIAPOSITIVAS (24 slides)</w:t>
      </w:r>
    </w:p>
    <w:p>
      <w:pPr>
        <w:pStyle w:val="Heading3"/>
        <w:keepNext/>
        <w:keepLines/>
      </w:pPr>
      <w:r>
        <w:t>DIAPOSITIVA 01 — Portada</w:t>
      </w:r>
    </w:p>
    <w:p>
      <w:r>
        <w:rPr>
          <w:b/>
        </w:rPr>
        <w:t>Tipo:</w:t>
      </w:r>
      <w:r>
        <w:t xml:space="preserve"> Título de portada</w:t>
      </w:r>
      <w:r/>
      <w:r>
        <w:br/>
      </w:r>
      <w:r>
        <w:rPr>
          <w:b/>
        </w:rPr>
        <w:t>Fondo:</w:t>
      </w:r>
      <w:r>
        <w:t xml:space="preserve"> Color primario azul oscuro </w:t>
      </w:r>
      <w:r>
        <w:rPr>
          <w:rFonts w:ascii="Courier New" w:hAnsi="Courier New"/>
          <w:sz w:val="18"/>
        </w:rPr>
        <w:t>#0D2137</w:t>
      </w:r>
    </w:p>
    <w:p>
      <w:r>
        <w:rPr>
          <w:b/>
        </w:rPr>
        <w:t>Elementos:</w:t>
      </w:r>
      <w:r/>
      <w:r>
        <w:br/>
        <w:t xml:space="preserve">- </w:t>
      </w:r>
      <w:r>
        <w:rPr>
          <w:b/>
        </w:rPr>
        <w:t>Línea superior (pequeño):</w:t>
      </w:r>
      <w:r>
        <w:t xml:space="preserve"> </w:t>
      </w:r>
      <w:r>
        <w:rPr>
          <w:rFonts w:ascii="Courier New" w:hAnsi="Courier New"/>
          <w:sz w:val="18"/>
        </w:rPr>
        <w:t>CONFIDENCIAL — [Clasificación según ENS si aplica]</w:t>
      </w:r>
      <w:r/>
      <w:r>
        <w:br/>
        <w:t xml:space="preserve">- </w:t>
      </w:r>
      <w:r>
        <w:rPr>
          <w:b/>
        </w:rPr>
        <w:t>Título principal (grande, blanco):</w:t>
      </w:r>
      <w:r>
        <w:t xml:space="preserve"> </w:t>
      </w:r>
      <w:r>
        <w:rPr>
          <w:rFonts w:ascii="Courier New" w:hAnsi="Courier New"/>
          <w:sz w:val="18"/>
        </w:rPr>
        <w:t>Informe de Postura de Ciberseguridad IA</w:t>
      </w:r>
      <w:r/>
      <w:r>
        <w:br/>
        <w:t xml:space="preserve">- </w:t>
      </w:r>
      <w:r>
        <w:rPr>
          <w:b/>
        </w:rPr>
        <w:t>Subtítulo:</w:t>
      </w:r>
      <w:r>
        <w:t xml:space="preserve"> </w:t>
      </w:r>
      <w:r>
        <w:rPr>
          <w:rFonts w:ascii="Courier New" w:hAnsi="Courier New"/>
          <w:sz w:val="18"/>
        </w:rPr>
        <w:t>Índice de Gobernanza y Madurez FAICP — IGM-FAICP</w:t>
      </w:r>
      <w:r/>
      <w:r>
        <w:br/>
        <w:t xml:space="preserve">- </w:t>
      </w:r>
      <w:r>
        <w:rPr>
          <w:b/>
        </w:rPr>
        <w:t>Bloque de datos clave (3 cifras en cajas azul claro):</w:t>
      </w:r>
      <w:r/>
      <w:r>
        <w:br/>
        <w:t xml:space="preserve">  - </w:t>
      </w:r>
      <w:r>
        <w:rPr>
          <w:rFonts w:ascii="Courier New" w:hAnsi="Courier New"/>
          <w:sz w:val="18"/>
        </w:rPr>
        <w:t>IGM-FAICP: [X.X]</w:t>
      </w:r>
      <w:r/>
      <w:r>
        <w:br/>
        <w:t xml:space="preserve">  - </w:t>
      </w:r>
      <w:r>
        <w:rPr>
          <w:rFonts w:ascii="Courier New" w:hAnsi="Courier New"/>
          <w:sz w:val="18"/>
        </w:rPr>
        <w:t>Nivel: [EMERGENTE / DESARROLLADO / AVANZADO]</w:t>
      </w:r>
      <w:r/>
      <w:r>
        <w:br/>
        <w:t xml:space="preserve">  - </w:t>
      </w:r>
      <w:r>
        <w:rPr>
          <w:rFonts w:ascii="Courier New" w:hAnsi="Courier New"/>
          <w:sz w:val="18"/>
        </w:rPr>
        <w:t>Indicadores Tier 1 en riesgo: [N]</w:t>
      </w:r>
      <w:r/>
      <w:r>
        <w:br/>
        <w:t xml:space="preserve">- </w:t>
      </w:r>
      <w:r>
        <w:rPr>
          <w:b/>
        </w:rPr>
        <w:t>Metadatos:</w:t>
      </w:r>
      <w:r>
        <w:t xml:space="preserve"> </w:t>
      </w:r>
      <w:r>
        <w:rPr>
          <w:rFonts w:ascii="Courier New" w:hAnsi="Courier New"/>
          <w:sz w:val="18"/>
        </w:rPr>
        <w:t>[Nombre organización] | [CCAA] | [Sector] | [Fecha]</w:t>
      </w:r>
      <w:r/>
      <w:r>
        <w:br/>
        <w:t xml:space="preserve">- </w:t>
      </w:r>
      <w:r>
        <w:rPr>
          <w:b/>
        </w:rPr>
        <w:t>Preparado por:</w:t>
      </w:r>
      <w:r>
        <w:t xml:space="preserve"> </w:t>
      </w:r>
      <w:r>
        <w:rPr>
          <w:rFonts w:ascii="Courier New" w:hAnsi="Courier New"/>
          <w:sz w:val="18"/>
        </w:rPr>
        <w:t>[CISO] | [Responsable de Riesgos IA]</w:t>
      </w:r>
    </w:p>
    <w:p>
      <w:r>
        <w:rPr>
          <w:b/>
        </w:rPr>
        <w:t>Notas del presentador: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Esta presentación cubre los resultados de la evaluación IGM-FAICP, basada en el marco </w:t>
        <w:br/>
        <w:t xml:space="preserve">NIST IR 8596 (publicado dic. 2025), el EU AI Act y la metodología GQM + PRAGMATIC. </w:t>
        <w:br/>
        <w:t xml:space="preserve">El objetivo es proporcionar una visión ejecutiva de la postura de ciberseguridad IA </w:t>
        <w:br/>
        <w:t>de la organización, las brechas prioritarias y el plan de acción recomendado.</w:t>
        <w:br/>
      </w:r>
    </w:p>
    <w:p>
      <w:pPr>
        <w:pStyle w:val="Heading3"/>
        <w:keepNext/>
        <w:keepLines/>
      </w:pPr>
      <w:r>
        <w:t>DIAPOSITIVA 02 — Contexto: Por qué ahora</w:t>
      </w:r>
    </w:p>
    <w:p>
      <w:r>
        <w:rPr>
          <w:b/>
        </w:rPr>
        <w:t>Tipo:</w:t>
      </w:r>
      <w:r>
        <w:t xml:space="preserve"> Diapositiva de contexto con datos de impacto</w:t>
      </w:r>
      <w:r/>
      <w:r>
        <w:br/>
      </w:r>
      <w:r>
        <w:rPr>
          <w:b/>
        </w:rPr>
        <w:t>Fondo:</w:t>
      </w:r>
      <w:r>
        <w:t xml:space="preserve"> Blanco roto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El momento lo exige: la IA como vector de ataque y como objetivo</w:t>
      </w:r>
    </w:p>
    <w:p>
      <w:r>
        <w:rPr>
          <w:b/>
        </w:rPr>
        <w:t>Layout: 3 columnas con iconos</w:t>
      </w:r>
    </w:p>
    <w:p>
      <w:r>
        <w:rPr>
          <w:b/>
        </w:rPr>
        <w:t>Columna 1 — España 2025:</w:t>
      </w:r>
      <w:r/>
      <w:r>
        <w:br/>
        <w:t>- Icono: Mapa de España</w:t>
      </w:r>
      <w:r/>
      <w:r>
        <w:br/>
        <w:t xml:space="preserve">- </w:t>
      </w:r>
      <w:r>
        <w:rPr>
          <w:rFonts w:ascii="Courier New" w:hAnsi="Courier New"/>
          <w:sz w:val="18"/>
        </w:rPr>
        <w:t>122.223 incidentes INCIBE (+26% YoY)</w:t>
      </w:r>
      <w:r/>
      <w:r>
        <w:br/>
        <w:t xml:space="preserve">- </w:t>
      </w:r>
      <w:r>
        <w:rPr>
          <w:rFonts w:ascii="Courier New" w:hAnsi="Courier New"/>
          <w:sz w:val="18"/>
        </w:rPr>
        <w:t>Solo el 2% de empresas en nivel Mature</w:t>
      </w:r>
      <w:r/>
      <w:r>
        <w:br/>
        <w:t xml:space="preserve">- </w:t>
      </w:r>
      <w:r>
        <w:rPr>
          <w:rFonts w:ascii="Courier New" w:hAnsi="Courier New"/>
          <w:sz w:val="18"/>
        </w:rPr>
        <w:t>87% sufrió incidentes vinculados a IA</w:t>
      </w:r>
    </w:p>
    <w:p>
      <w:r>
        <w:rPr>
          <w:b/>
        </w:rPr>
        <w:t>Columna 2 — Europa (ENISA ETL 2025):</w:t>
      </w:r>
      <w:r/>
      <w:r>
        <w:br/>
        <w:t>- Icono: Escudo UE</w:t>
      </w:r>
      <w:r/>
      <w:r>
        <w:br/>
        <w:t xml:space="preserve">- </w:t>
      </w:r>
      <w:r>
        <w:rPr>
          <w:rFonts w:ascii="Courier New" w:hAnsi="Courier New"/>
          <w:sz w:val="18"/>
        </w:rPr>
        <w:t>80%+ de ingeniería social usa IA generativa</w:t>
      </w:r>
      <w:r/>
      <w:r>
        <w:br/>
        <w:t xml:space="preserve">- </w:t>
      </w:r>
      <w:r>
        <w:rPr>
          <w:rFonts w:ascii="Courier New" w:hAnsi="Courier New"/>
          <w:sz w:val="18"/>
        </w:rPr>
        <w:t>Phishing: 60% de todos los vectores de intrusión</w:t>
      </w:r>
      <w:r/>
      <w:r>
        <w:br/>
        <w:t xml:space="preserve">- </w:t>
      </w:r>
      <w:r>
        <w:rPr>
          <w:rFonts w:ascii="Courier New" w:hAnsi="Courier New"/>
          <w:sz w:val="18"/>
        </w:rPr>
        <w:t>Ransomware: sector industrial, 14.9% de reclamaciones</w:t>
      </w:r>
    </w:p>
    <w:p>
      <w:r>
        <w:rPr>
          <w:b/>
        </w:rPr>
        <w:t>Columna 3 — El imperativo regulatorio:</w:t>
      </w:r>
      <w:r/>
      <w:r>
        <w:br/>
        <w:t>- Icono: Balanza de justicia</w:t>
      </w:r>
      <w:r/>
      <w:r>
        <w:br/>
        <w:t xml:space="preserve">- </w:t>
      </w:r>
      <w:r>
        <w:rPr>
          <w:rFonts w:ascii="Courier New" w:hAnsi="Courier New"/>
          <w:sz w:val="18"/>
        </w:rPr>
        <w:t>EU AI Act: sanciones hasta 30M€ o 6% vol. global</w:t>
      </w:r>
      <w:r/>
      <w:r>
        <w:br/>
        <w:t xml:space="preserve">- </w:t>
      </w:r>
      <w:r>
        <w:rPr>
          <w:rFonts w:ascii="Courier New" w:hAnsi="Courier New"/>
          <w:sz w:val="18"/>
        </w:rPr>
        <w:t>NIS2: 10M€ o 2% de facturación global</w:t>
      </w:r>
      <w:r/>
      <w:r>
        <w:br/>
        <w:t xml:space="preserve">- </w:t>
      </w:r>
      <w:r>
        <w:rPr>
          <w:rFonts w:ascii="Courier New" w:hAnsi="Courier New"/>
          <w:sz w:val="18"/>
        </w:rPr>
        <w:t>AESIA publicó 16 guías de cumplimiento (dic. 2025)</w:t>
      </w:r>
    </w:p>
    <w:p>
      <w:r>
        <w:rPr>
          <w:b/>
        </w:rPr>
        <w:t>Fuentes (pie):</w:t>
      </w:r>
      <w:r>
        <w:t xml:space="preserve"> </w:t>
      </w:r>
      <w:r>
        <w:rPr>
          <w:rFonts w:ascii="Courier New" w:hAnsi="Courier New"/>
          <w:sz w:val="18"/>
        </w:rPr>
        <w:t>Cisco CRI 2025 · INCIBE 2026 · ENISA ETL 2025 · EU AI Act 2024/1689</w:t>
      </w:r>
    </w:p>
    <w:p>
      <w:pPr>
        <w:pStyle w:val="Heading3"/>
        <w:keepNext/>
        <w:keepLines/>
      </w:pPr>
      <w:r>
        <w:t>DIAPOSITIVA 03 — Marco de Evaluación Utilizado</w:t>
      </w:r>
    </w:p>
    <w:p>
      <w:r>
        <w:rPr>
          <w:b/>
        </w:rPr>
        <w:t>Tipo:</w:t>
      </w:r>
      <w:r>
        <w:t xml:space="preserve"> Explicación metodológica</w:t>
      </w:r>
      <w:r/>
      <w:r>
        <w:br/>
      </w:r>
      <w:r>
        <w:rPr>
          <w:b/>
        </w:rPr>
        <w:t>Fondo:</w:t>
      </w:r>
      <w:r>
        <w:t xml:space="preserve"> Blanco roto con banda lateral azul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Metodología: GQM + PRAGMATIC sobre NIST IR 8596</w:t>
      </w:r>
    </w:p>
    <w:p>
      <w:r>
        <w:rPr>
          <w:b/>
        </w:rPr>
        <w:t>Diagrama de capas (vertical, de arriba a abajo con flechas):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OBJETIVOS ESTRATÉGICOS NACIONALES       │  ← EU AI Act / ENS / NIS2 / INCIBE</w:t>
        <w:br/>
        <w:t>│  ↓ GQM Nivel 1                          │</w:t>
        <w:br/>
        <w:t>├─────────────────────────────────────────┤</w:t>
        <w:br/>
        <w:t>│  OBJETIVOS ORGANIZATIVOS                 │  ← Por función CSF 2.0</w:t>
        <w:br/>
        <w:t>│  ↓ GQM Nivel 2                          │</w:t>
        <w:br/>
        <w:t>├─────────────────────────────────────────┤</w:t>
        <w:br/>
        <w:t>│  29 PREGUNTAS DE MEDICIÓN GQM           │  ← Q-GV-01 ... Q-RC-03</w:t>
        <w:br/>
        <w:t>│  ↓ Operacionalización                   │</w:t>
        <w:br/>
        <w:t>├─────────────────────────────────────────┤</w:t>
        <w:br/>
        <w:t>│  29 INDICADORES IGM-FAICP               │  ← Evaluados con PRAGMATIC (9 criterios)</w:t>
        <w:br/>
        <w:t>│  ↓ Recogida de datos                    │</w:t>
        <w:br/>
        <w:t>├─────────────────────────────────────────┤</w:t>
        <w:br/>
        <w:t>│  IGM-FAICP: ÍNDICE PONDERADO (1-5)      │  ← Resultado ejecutivo</w:t>
        <w:br/>
        <w:t>└─────────────────────────────────────────┘</w:t>
        <w:br/>
      </w:r>
    </w:p>
    <w:p>
      <w:r>
        <w:rPr>
          <w:b/>
        </w:rPr>
        <w:t>Leyenda de marcos:</w:t>
      </w:r>
      <w:r/>
      <w:r>
        <w:br/>
        <w:t>- NIST IR 8596 (dic. 2025) · AI RMF 1.0 · EU AI Act · ENS · NIS2 · ISO/IEC 42001 · OWASP LLM Top 10 · MITRE ATLAS v5.5</w:t>
      </w:r>
    </w:p>
    <w:p>
      <w:pPr>
        <w:pStyle w:val="Heading3"/>
        <w:keepNext/>
        <w:keepLines/>
      </w:pPr>
      <w:r>
        <w:t>DIAPOSITIVA 04 — Resultado IGM-FAICP (Portada de Resultados)</w:t>
      </w:r>
    </w:p>
    <w:p>
      <w:r>
        <w:rPr>
          <w:b/>
        </w:rPr>
        <w:t>Tipo:</w:t>
      </w:r>
      <w:r>
        <w:t xml:space="preserve"> Diapositiva de resultado principal — fondo azul oscuro</w:t>
      </w:r>
      <w:r/>
      <w:r>
        <w:br/>
      </w:r>
      <w:r>
        <w:rPr>
          <w:b/>
        </w:rPr>
        <w:t>Fondo:</w:t>
      </w:r>
      <w:r>
        <w:t xml:space="preserve"> Color primario </w:t>
      </w:r>
      <w:r>
        <w:rPr>
          <w:rFonts w:ascii="Courier New" w:hAnsi="Courier New"/>
          <w:sz w:val="18"/>
        </w:rPr>
        <w:t>#0D2137</w:t>
      </w:r>
    </w:p>
    <w:p>
      <w:r>
        <w:rPr>
          <w:b/>
        </w:rPr>
        <w:t>Diseño:</w:t>
      </w:r>
      <w:r/>
      <w:r>
        <w:br/>
        <w:t xml:space="preserve">- </w:t>
      </w:r>
      <w:r>
        <w:rPr>
          <w:b/>
        </w:rPr>
        <w:t>Número central enorme (blanco):</w:t>
      </w:r>
      <w:r>
        <w:t xml:space="preserve"> </w:t>
      </w:r>
      <w:r>
        <w:rPr>
          <w:rFonts w:ascii="Courier New" w:hAnsi="Courier New"/>
          <w:sz w:val="18"/>
        </w:rPr>
        <w:t>[X.X]</w:t>
      </w:r>
      <w:r>
        <w:t xml:space="preserve"> (valor del IGM-FAICP)</w:t>
      </w:r>
      <w:r/>
      <w:r>
        <w:br/>
        <w:t xml:space="preserve">- </w:t>
      </w:r>
      <w:r>
        <w:rPr>
          <w:b/>
        </w:rPr>
        <w:t>Texto bajo el número:</w:t>
      </w:r>
      <w:r>
        <w:t xml:space="preserve"> </w:t>
      </w:r>
      <w:r>
        <w:rPr>
          <w:rFonts w:ascii="Courier New" w:hAnsi="Courier New"/>
          <w:sz w:val="18"/>
        </w:rPr>
        <w:t>IGM-FAICP</w:t>
      </w:r>
      <w:r/>
      <w:r>
        <w:br/>
        <w:t xml:space="preserve">- </w:t>
      </w:r>
      <w:r>
        <w:rPr>
          <w:b/>
        </w:rPr>
        <w:t>Barra de progreso horizontal:</w:t>
      </w:r>
      <w:r>
        <w:t xml:space="preserve"> Escala 1-5 con marcadores en 1.5, 2.5, 3.5, 4.5</w:t>
      </w:r>
      <w:r/>
      <w:r>
        <w:br/>
        <w:t xml:space="preserve">- </w:t>
      </w:r>
      <w:r>
        <w:rPr>
          <w:b/>
        </w:rPr>
        <w:t>Indicador de posición</w:t>
      </w:r>
      <w:r>
        <w:t xml:space="preserve"> con triángulo de color correspondiente al nivel</w:t>
      </w:r>
      <w:r/>
      <w:r>
        <w:br/>
        <w:t xml:space="preserve">- </w:t>
      </w:r>
      <w:r>
        <w:rPr>
          <w:b/>
        </w:rPr>
        <w:t>Cuadro de nivel (color según nivel):</w:t>
      </w:r>
      <w:r>
        <w:t xml:space="preserve"> </w:t>
      </w:r>
      <w:r>
        <w:rPr>
          <w:rFonts w:ascii="Courier New" w:hAnsi="Courier New"/>
          <w:sz w:val="18"/>
        </w:rPr>
        <w:t>🔴 CRÍTICO / 🟠 EMERGENTE / 🟡 DESARROLLADO / 🟢 AVANZADO / 💎 LÍDER</w:t>
      </w:r>
      <w:r/>
      <w:r>
        <w:br/>
        <w:t xml:space="preserve">- </w:t>
      </w:r>
      <w:r>
        <w:rPr>
          <w:b/>
        </w:rPr>
        <w:t>Tres comparativas (cajas pequeñas):</w:t>
      </w:r>
      <w:r/>
      <w:r>
        <w:br/>
        <w:t xml:space="preserve">  - </w:t>
      </w:r>
      <w:r>
        <w:rPr>
          <w:rFonts w:ascii="Courier New" w:hAnsi="Courier New"/>
          <w:sz w:val="18"/>
        </w:rPr>
        <w:t>vs. Media España: [X.X] | [+/- diferencia]</w:t>
      </w:r>
      <w:r/>
      <w:r>
        <w:br/>
        <w:t xml:space="preserve">  - </w:t>
      </w:r>
      <w:r>
        <w:rPr>
          <w:rFonts w:ascii="Courier New" w:hAnsi="Courier New"/>
          <w:sz w:val="18"/>
        </w:rPr>
        <w:t>vs. Objetivo EU AI Act: 3.0 | Brecha: [X.X]</w:t>
      </w:r>
      <w:r/>
      <w:r>
        <w:br/>
        <w:t xml:space="preserve">  - </w:t>
      </w:r>
      <w:r>
        <w:rPr>
          <w:rFonts w:ascii="Courier New" w:hAnsi="Courier New"/>
          <w:sz w:val="18"/>
        </w:rPr>
        <w:t>vs. Objetivo NIS2 OE: 3.5 | Brecha: [X.X]</w:t>
      </w:r>
    </w:p>
    <w:p>
      <w:pPr>
        <w:pStyle w:val="Heading3"/>
        <w:keepNext/>
        <w:keepLines/>
      </w:pPr>
      <w:r>
        <w:t>DIAPOSITIVA 05 — Perfil Radar de Madurez</w:t>
      </w:r>
    </w:p>
    <w:p>
      <w:r>
        <w:rPr>
          <w:b/>
        </w:rPr>
        <w:t>Tipo:</w:t>
      </w:r>
      <w:r>
        <w:t xml:space="preserve"> Diapositiva de visualización de datos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Perfil de Madurez por Función FAICP</w:t>
      </w:r>
    </w:p>
    <w:p>
      <w:r>
        <w:rPr>
          <w:b/>
        </w:rPr>
        <w:t>Elemento central:</w:t>
      </w:r>
      <w:r>
        <w:t xml:space="preserve"> Gráfico de radar (spider chart) con 6 ejes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Ejes: GOBERNAR | IDENTIFICAR | PROTEGER | DETECTAR | RESPONDER | RECUPERAR</w:t>
        <w:br/>
        <w:t>Escala: 0 a 5</w:t>
        <w:br/>
        <w:br/>
        <w:t>Serie 1 (azul sólido): Mi Organización — valores reales</w:t>
        <w:br/>
        <w:t>Serie 2 (naranja discontinuo): Objetivo Mínimo EU AI Act — 3.0</w:t>
        <w:br/>
        <w:t>Serie 3 (verde punteado): Objetivo NIS2 Operadores Esenciales — 3.5</w:t>
        <w:br/>
      </w:r>
    </w:p>
    <w:p>
      <w:r>
        <w:rPr>
          <w:b/>
        </w:rPr>
        <w:t>Tabla lateral: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vs. Objetivo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[↑↓→]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[↑↓→]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[↑↓→]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[↑↓→]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[↑↓→]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RECUPERAR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[+/-]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[↑↓→]</w:t>
            </w:r>
          </w:p>
        </w:tc>
      </w:tr>
    </w:tbl>
    <w:p/>
    <w:p>
      <w:pPr>
        <w:pStyle w:val="Heading3"/>
        <w:keepNext/>
        <w:keepLines/>
      </w:pPr>
      <w:r>
        <w:t>DIAPOSITIVA 06 — Dashboard de los 29 Indicadores</w:t>
      </w:r>
    </w:p>
    <w:p>
      <w:r>
        <w:rPr>
          <w:b/>
        </w:rPr>
        <w:t>Tipo:</w:t>
      </w:r>
      <w:r>
        <w:t xml:space="preserve"> Heatmap / dashboard de indicadores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Vista Completa: 29 Indicadores IGM-FAICP</w:t>
      </w:r>
    </w:p>
    <w:p>
      <w:r>
        <w:rPr>
          <w:b/>
        </w:rPr>
        <w:t>Formato:</w:t>
      </w:r>
      <w:r>
        <w:t xml:space="preserve"> Tabla compacta con código de color por puntuación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(abreviado)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GV-01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🔴/🟠/🟡/🟢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GV-02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Mapa dependencias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[X]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... (todos los 29)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</w:tr>
    </w:tbl>
    <w:p/>
    <w:p>
      <w:r>
        <w:rPr>
          <w:b/>
        </w:rPr>
        <w:t>Leyenda de color:</w:t>
      </w:r>
      <w:r/>
      <w:r>
        <w:br/>
        <w:t>- 🔴 1 = Crítico · 🟠 2 = Inicial · 🟡 3 = Definido · 🟢 4 = Gestionado · 💎 5 = Optimizado</w:t>
      </w:r>
    </w:p>
    <w:p>
      <w:pPr>
        <w:pStyle w:val="Heading3"/>
        <w:keepNext/>
        <w:keepLines/>
      </w:pPr>
      <w:r>
        <w:t>DIAPOSITIVAS 07-12 — Resultados por Función (6 diapositivas)</w:t>
      </w:r>
    </w:p>
    <w:p>
      <w:r>
        <w:rPr>
          <w:b/>
        </w:rPr>
        <w:t>Una diapositiva por función:</w:t>
      </w:r>
      <w:r>
        <w:t xml:space="preserve"> GOBERNAR, IDENTIFICAR, PROTEGER, DETECTAR, RESPONDER, RECUPERAR</w:t>
      </w:r>
    </w:p>
    <w:p>
      <w:r>
        <w:rPr>
          <w:b/>
        </w:rPr>
        <w:t>Layout estándar por función:</w:t>
      </w:r>
    </w:p>
    <w:p>
      <w:r>
        <w:rPr>
          <w:b/>
        </w:rPr>
        <w:t>Banda superior (color de función):</w:t>
      </w:r>
      <w:r>
        <w:t xml:space="preserve"> Nombre de la función + puntuación media + Icono</w:t>
      </w:r>
    </w:p>
    <w:p>
      <w:r>
        <w:rPr>
          <w:b/>
        </w:rPr>
        <w:t>Sección izquierda — Indicadores: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[Código] [Nombre] [Puntuación] [Barra de progreso]</w:t>
        <w:br/>
        <w:t>[Código] [Nombre] [Puntuación] [Barra de progreso]</w:t>
        <w:br/>
        <w:t>...</w:t>
        <w:br/>
      </w:r>
    </w:p>
    <w:p>
      <w:r>
        <w:rPr>
          <w:b/>
        </w:rPr>
        <w:t>Sección derecha — Análisis:</w:t>
      </w:r>
      <w:r/>
      <w:r>
        <w:br/>
        <w:t xml:space="preserve">- 🔴 </w:t>
      </w:r>
      <w:r>
        <w:rPr>
          <w:b/>
        </w:rPr>
        <w:t>Brecha crítica:</w:t>
      </w:r>
      <w:r>
        <w:t xml:space="preserve"> El indicador más bajo, su impacto y la acción recomendada</w:t>
      </w:r>
      <w:r/>
      <w:r>
        <w:br/>
        <w:t xml:space="preserve">- ✅ </w:t>
      </w:r>
      <w:r>
        <w:rPr>
          <w:b/>
        </w:rPr>
        <w:t>Fortaleza:</w:t>
      </w:r>
      <w:r>
        <w:t xml:space="preserve"> El indicador más alto</w:t>
      </w:r>
      <w:r/>
      <w:r>
        <w:br/>
        <w:t xml:space="preserve">- 📋 </w:t>
      </w:r>
      <w:r>
        <w:rPr>
          <w:b/>
        </w:rPr>
        <w:t>Próximo paso:</w:t>
      </w:r>
      <w:r>
        <w:t xml:space="preserve"> Una acción concreta con fecha</w:t>
      </w:r>
    </w:p>
    <w:p>
      <w:r>
        <w:rPr>
          <w:b/>
        </w:rPr>
        <w:t>Pie de la diapositiva:</w:t>
      </w:r>
      <w:r>
        <w:t xml:space="preserve"> Marcos normativos relevantes para esta función</w:t>
      </w:r>
    </w:p>
    <w:p>
      <w:pPr>
        <w:pStyle w:val="Heading3"/>
        <w:keepNext/>
        <w:keepLines/>
      </w:pPr>
      <w:r>
        <w:t>DIAPOSITIVA 13 — Top 5 Brechas Críticas</w:t>
      </w:r>
    </w:p>
    <w:p>
      <w:r>
        <w:rPr>
          <w:b/>
        </w:rPr>
        <w:t>Tipo:</w:t>
      </w:r>
      <w:r>
        <w:t xml:space="preserve"> Diapositiva de análisis de brechas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Las 5 Brechas que más urge cerrar</w:t>
      </w:r>
    </w:p>
    <w:p>
      <w:r>
        <w:rPr>
          <w:b/>
        </w:rPr>
        <w:t>Formato:</w:t>
      </w:r>
      <w:r>
        <w:t xml:space="preserve"> Lista de 5 items con diseño visual de tarjetas</w:t>
      </w:r>
    </w:p>
    <w:p>
      <w:r>
        <w:t>Para cada brecha: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[Ranking] [CÓDIGO INDICADOR] [Nombre completo]</w:t>
        <w:br/>
        <w:t>Puntuación actual: [X] → Objetivo: 3.5</w:t>
        <w:br/>
        <w:t>Riesgo regulatorio: [Marco + Artículo + Sanción potencial]</w:t>
        <w:br/>
        <w:t>Acción inmediata: [Descripción de la acción en una frase]</w:t>
        <w:br/>
        <w:t>Inversión estimada: [Baja / Media / Alta]</w:t>
        <w:br/>
        <w:t>Responsable: [Rol]</w:t>
        <w:br/>
      </w:r>
    </w:p>
    <w:p>
      <w:pPr>
        <w:pStyle w:val="Heading3"/>
        <w:keepNext/>
        <w:keepLines/>
      </w:pPr>
      <w:r>
        <w:t>DIAPOSITIVA 14 — Análisis PRAGMATIC: Calidad de las Métricas</w:t>
      </w:r>
    </w:p>
    <w:p>
      <w:r>
        <w:rPr>
          <w:b/>
        </w:rPr>
        <w:t>Tipo:</w:t>
      </w:r>
      <w:r>
        <w:t xml:space="preserve"> Visualización de la calidad del marco de medición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¿Podemos confiar en nuestras métricas? Análisis PRAGMATIC</w:t>
      </w:r>
    </w:p>
    <w:p>
      <w:r>
        <w:rPr>
          <w:b/>
        </w:rPr>
        <w:t>Sección izquierda — Distribución de puntuaciones PRAGMATIC:</w:t>
      </w:r>
      <w:r/>
      <w:r>
        <w:br/>
        <w:t>- Gráfico de barras: Puntuación total PRAGMATIC por indicador (29 barras)</w:t>
      </w:r>
      <w:r/>
      <w:r>
        <w:br/>
        <w:t>- Líneas de referencia: 21 (Recomendada) y 14 (Desestimar)</w:t>
      </w:r>
    </w:p>
    <w:p>
      <w:r>
        <w:rPr>
          <w:b/>
        </w:rPr>
        <w:t>Sección derecha — Semáforo de criterios:</w:t>
      </w:r>
      <w:r/>
      <w:r>
        <w:br/>
        <w:t>| Criterio | Puntuación Media | Estado |</w:t>
      </w:r>
      <w:r/>
      <w:r>
        <w:br/>
        <w:t>|----------|-----------------|--------|</w:t>
      </w:r>
      <w:r/>
      <w:r>
        <w:br/>
        <w:t>| Predictivo | [X.X] | 🟡 |</w:t>
      </w:r>
      <w:r/>
      <w:r>
        <w:br/>
        <w:t>| Relevante | [X.X] | 🟢 |</w:t>
      </w:r>
      <w:r/>
      <w:r>
        <w:br/>
        <w:t>| Accionable | [X.X] | 🟢 |</w:t>
      </w:r>
      <w:r/>
      <w:r>
        <w:br/>
        <w:t xml:space="preserve">| </w:t>
      </w:r>
      <w:r>
        <w:rPr>
          <w:b/>
        </w:rPr>
        <w:t>Genuino</w:t>
      </w:r>
      <w:r>
        <w:t xml:space="preserve"> | [X.X] | 🟠 </w:t>
      </w:r>
      <w:r>
        <w:rPr>
          <w:b/>
        </w:rPr>
        <w:t>⚠ ATENCIÓN</w:t>
      </w:r>
      <w:r>
        <w:t xml:space="preserve"> |</w:t>
      </w:r>
      <w:r/>
      <w:r>
        <w:br/>
        <w:t>| Significativo | [X.X] | 🟡 |</w:t>
      </w:r>
      <w:r/>
      <w:r>
        <w:br/>
        <w:t>| Preciso | [X.X] | 🟡 |</w:t>
      </w:r>
      <w:r/>
      <w:r>
        <w:br/>
        <w:t>| Oportuno | [X.X] | 🟢 |</w:t>
      </w:r>
      <w:r/>
      <w:r>
        <w:br/>
        <w:t xml:space="preserve">| </w:t>
      </w:r>
      <w:r>
        <w:rPr>
          <w:b/>
        </w:rPr>
        <w:t>Independiente</w:t>
      </w:r>
      <w:r>
        <w:t xml:space="preserve"> | [X.X] | 🟠 </w:t>
      </w:r>
      <w:r>
        <w:rPr>
          <w:b/>
        </w:rPr>
        <w:t>⚠ ATENCIÓN</w:t>
      </w:r>
      <w:r>
        <w:t xml:space="preserve"> |</w:t>
      </w:r>
      <w:r/>
      <w:r>
        <w:br/>
        <w:t>| Rentable | [X.X] | 🟡 |</w:t>
      </w:r>
    </w:p>
    <w:p>
      <w:r>
        <w:rPr>
          <w:b/>
        </w:rPr>
        <w:t>Nota destacada:</w:t>
      </w:r>
      <w:r>
        <w:t xml:space="preserve"> "Los criterios Genuino e Independiente son los más bajos del marco. Se recomienda evaluación externa bienal para mitigar el sesgo de autoevaluación."</w:t>
      </w:r>
    </w:p>
    <w:p>
      <w:pPr>
        <w:pStyle w:val="Heading3"/>
        <w:keepNext/>
        <w:keepLines/>
      </w:pPr>
      <w:r>
        <w:t>DIAPOSITIVA 15 — Panorama de Amenazas IA (Contexto)</w:t>
      </w:r>
    </w:p>
    <w:p>
      <w:r>
        <w:rPr>
          <w:b/>
        </w:rPr>
        <w:t>Tipo:</w:t>
      </w:r>
      <w:r>
        <w:t xml:space="preserve"> Inteligencia de amenazas contextual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El adversario se mueve a velocidad de máquina</w:t>
      </w:r>
    </w:p>
    <w:p>
      <w:r>
        <w:rPr>
          <w:b/>
        </w:rPr>
        <w:t>Layout: 2×2 con 4 amenazas clave</w:t>
      </w:r>
    </w:p>
    <w:p>
      <w:r>
        <w:rPr>
          <w:b/>
        </w:rPr>
        <w:t>Cuadrante 1 — Phishing LLM:</w:t>
      </w:r>
      <w:r/>
      <w:r>
        <w:br/>
        <w:t>- Icono: Email con símbolo IA</w:t>
      </w:r>
      <w:r/>
      <w:r>
        <w:br/>
        <w:t xml:space="preserve">- </w:t>
      </w:r>
      <w:r>
        <w:rPr>
          <w:rFonts w:ascii="Courier New" w:hAnsi="Courier New"/>
          <w:sz w:val="18"/>
        </w:rPr>
        <w:t>80%+ de ingeniería social usa GenAI (ENISA ETL 2025)</w:t>
      </w:r>
      <w:r/>
      <w:r>
        <w:br/>
        <w:t xml:space="preserve">- </w:t>
      </w:r>
      <w:r>
        <w:rPr>
          <w:rFonts w:ascii="Courier New" w:hAnsi="Courier New"/>
          <w:sz w:val="18"/>
        </w:rPr>
        <w:t>54% de tasa de clic vs. 12% del phishing convencional</w:t>
      </w:r>
      <w:r/>
      <w:r>
        <w:br/>
        <w:t>- Control crítico: IGM-PR-03 (Formación)</w:t>
      </w:r>
    </w:p>
    <w:p>
      <w:r>
        <w:rPr>
          <w:b/>
        </w:rPr>
        <w:t>Cuadrante 2 — Agentes autónomos comprometidos:</w:t>
      </w:r>
      <w:r/>
      <w:r>
        <w:br/>
        <w:t>- Icono: Robot con alerta</w:t>
      </w:r>
      <w:r/>
      <w:r>
        <w:br/>
        <w:t xml:space="preserve">- </w:t>
      </w:r>
      <w:r>
        <w:rPr>
          <w:rFonts w:ascii="Courier New" w:hAnsi="Courier New"/>
          <w:sz w:val="18"/>
        </w:rPr>
        <w:t>14 nuevas técnicas de ataque agéntico (MITRE ATLAS v5.5, oct. 2025)</w:t>
      </w:r>
      <w:r/>
      <w:r>
        <w:br/>
        <w:t xml:space="preserve">- </w:t>
      </w:r>
      <w:r>
        <w:rPr>
          <w:rFonts w:ascii="Courier New" w:hAnsi="Courier New"/>
          <w:sz w:val="18"/>
        </w:rPr>
        <w:t>OWASP LLM06: Excessive Agency — nueva categoría 2025</w:t>
      </w:r>
      <w:r/>
      <w:r>
        <w:br/>
        <w:t>- Control crítico: IGM-PR-06 (Agencia excesiva)</w:t>
      </w:r>
    </w:p>
    <w:p>
      <w:r>
        <w:rPr>
          <w:b/>
        </w:rPr>
        <w:t>Cuadrante 3 — Deepfakes ejecutivos:</w:t>
      </w:r>
      <w:r/>
      <w:r>
        <w:br/>
        <w:t>- Icono: Cara con máscara digital</w:t>
      </w:r>
      <w:r/>
      <w:r>
        <w:br/>
        <w:t xml:space="preserve">- </w:t>
      </w:r>
      <w:r>
        <w:rPr>
          <w:rFonts w:ascii="Courier New" w:hAnsi="Courier New"/>
          <w:sz w:val="18"/>
        </w:rPr>
        <w:t>Incidentes deepfake +680% en 2025</w:t>
      </w:r>
      <w:r/>
      <w:r>
        <w:br/>
        <w:t xml:space="preserve">- </w:t>
      </w:r>
      <w:r>
        <w:rPr>
          <w:rFonts w:ascii="Courier New" w:hAnsi="Courier New"/>
          <w:sz w:val="18"/>
        </w:rPr>
        <w:t>Business Voice Compromise: nuevo vector de BEC</w:t>
      </w:r>
      <w:r/>
      <w:r>
        <w:br/>
        <w:t>- Control crítico: IGM-PR-03 (Formación) + IGM-RS-01 (Playbooks)</w:t>
      </w:r>
    </w:p>
    <w:p>
      <w:r>
        <w:rPr>
          <w:b/>
        </w:rPr>
        <w:t>Cuadrante 4 — Envenenamiento de modelos:</w:t>
      </w:r>
      <w:r/>
      <w:r>
        <w:br/>
        <w:t>- Icono: Modelo con calavera</w:t>
      </w:r>
      <w:r/>
      <w:r>
        <w:br/>
        <w:t xml:space="preserve">- </w:t>
      </w:r>
      <w:r>
        <w:rPr>
          <w:rFonts w:ascii="Courier New" w:hAnsi="Courier New"/>
          <w:sz w:val="18"/>
        </w:rPr>
        <w:t>OWASP LLM04: Data &amp; Model Poisoning</w:t>
      </w:r>
      <w:r/>
      <w:r>
        <w:br/>
        <w:t xml:space="preserve">- </w:t>
      </w:r>
      <w:r>
        <w:rPr>
          <w:rFonts w:ascii="Courier New" w:hAnsi="Courier New"/>
          <w:sz w:val="18"/>
        </w:rPr>
        <w:t>Primeros casos documentados en producción (ENISA 2025)</w:t>
      </w:r>
      <w:r/>
      <w:r>
        <w:br/>
        <w:t>- Control crítico: IGM-ID-01 (AI-BOM) + IGM-PR-04 (Protección datos)</w:t>
      </w:r>
    </w:p>
    <w:p>
      <w:pPr>
        <w:pStyle w:val="Heading3"/>
        <w:keepNext/>
        <w:keepLines/>
      </w:pPr>
      <w:r>
        <w:t>DIAPOSITIVA 16 — Comparativa Territorial (España y CCAA)</w:t>
      </w:r>
    </w:p>
    <w:p>
      <w:r>
        <w:rPr>
          <w:b/>
        </w:rPr>
        <w:t>Tipo:</w:t>
      </w:r>
      <w:r>
        <w:t xml:space="preserve"> Benchmarking territorial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Posición en el Ecosistema: España y [CCAA de la organización]</w:t>
      </w:r>
    </w:p>
    <w:p>
      <w:r>
        <w:rPr>
          <w:b/>
        </w:rPr>
        <w:t>Sección izquierda — Mapa de España con heatmap:</w:t>
      </w:r>
      <w:r/>
      <w:r>
        <w:br/>
        <w:t>Mapa de CCAA con color de intensidad según nivel de madurez estimado</w:t>
      </w:r>
    </w:p>
    <w:p>
      <w:r>
        <w:rPr>
          <w:b/>
        </w:rPr>
        <w:t>Sección derecha — Tabla comparativa: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IGM-FAICP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 Fortification Mature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Mi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Este informe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media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Cisco CRI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Media global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~1.4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Cisco CRI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 EU AI 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AI Act 2024/1689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Objetivo NIS2 OE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NIS2 2022/2555</w:t>
            </w:r>
          </w:p>
        </w:tc>
      </w:tr>
    </w:tbl>
    <w:p/>
    <w:p>
      <w:pPr>
        <w:pStyle w:val="Heading3"/>
        <w:keepNext/>
        <w:keepLines/>
      </w:pPr>
      <w:r>
        <w:t>DIAPOSITIVA 17 — Plan de Acción: Hoja de Ruta</w:t>
      </w:r>
    </w:p>
    <w:p>
      <w:r>
        <w:rPr>
          <w:b/>
        </w:rPr>
        <w:t>Tipo:</w:t>
      </w:r>
      <w:r>
        <w:t xml:space="preserve"> Hoja de ruta temporal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Plan de Mejora IGM-FAICP: De [X.X] a [Objetivo] en 18 meses</w:t>
      </w:r>
    </w:p>
    <w:p>
      <w:r>
        <w:rPr>
          <w:b/>
        </w:rPr>
        <w:t>Diagrama de Gantt simplificado (3 fases):</w:t>
      </w:r>
    </w:p>
    <w:p>
      <w:r>
        <w:rPr>
          <w:b/>
        </w:rPr>
        <w:t>FASE 1 — Meses 1-3 (Indicadores Tier 1 Críticos):</w:t>
      </w:r>
      <w:r/>
      <w:r>
        <w:br/>
        <w:t>- IGM-GV-01: Política IA aprobada por dirección</w:t>
      </w:r>
      <w:r/>
      <w:r>
        <w:br/>
        <w:t>- IGM-ID-01: AI-BOM completo</w:t>
      </w:r>
      <w:r/>
      <w:r>
        <w:br/>
        <w:t>- IGM-PR-01: IAM para sistemas IA</w:t>
      </w:r>
      <w:r/>
      <w:r>
        <w:br/>
        <w:t>- IGM-RS-01: Playbooks IA desarrollados</w:t>
      </w:r>
      <w:r/>
      <w:r>
        <w:br/>
        <w:t>- IGM-RS-03: Plazos de notificación conocidos</w:t>
      </w:r>
      <w:r/>
      <w:r>
        <w:br/>
        <w:t>- IGM-RC-01: Planes de recuperación con rollback</w:t>
      </w:r>
      <w:r/>
      <w:r>
        <w:br/>
        <w:t xml:space="preserve">- </w:t>
      </w:r>
      <w:r>
        <w:rPr>
          <w:b/>
        </w:rPr>
        <w:t>Meta de Fase 1:</w:t>
      </w:r>
      <w:r>
        <w:t xml:space="preserve"> IGM-FAICP ≥ 2.5</w:t>
      </w:r>
    </w:p>
    <w:p>
      <w:r>
        <w:rPr>
          <w:b/>
        </w:rPr>
        <w:t>FASE 2 — Meses 4-9 (Consolidación Preventiva):</w:t>
      </w:r>
      <w:r/>
      <w:r>
        <w:br/>
        <w:t>- Completar indicadores Gobernar, Identificar y Proteger</w:t>
      </w:r>
      <w:r/>
      <w:r>
        <w:br/>
        <w:t>- Iniciar programa de formación diferenciado por rol</w:t>
      </w:r>
      <w:r/>
      <w:r>
        <w:br/>
        <w:t>- Implementar monitorización de APIs IA y model drift</w:t>
      </w:r>
      <w:r/>
      <w:r>
        <w:br/>
        <w:t xml:space="preserve">- </w:t>
      </w:r>
      <w:r>
        <w:rPr>
          <w:b/>
        </w:rPr>
        <w:t>Meta de Fase 2:</w:t>
      </w:r>
      <w:r>
        <w:t xml:space="preserve"> IGM-FAICP ≥ 3.0</w:t>
      </w:r>
    </w:p>
    <w:p>
      <w:r>
        <w:rPr>
          <w:b/>
        </w:rPr>
        <w:t>FASE 3 — Meses 10-18 (Capacidades Avanzadas de Detección y Respuesta):</w:t>
      </w:r>
      <w:r/>
      <w:r>
        <w:br/>
        <w:t>- SOC con capacidades MITRE ATLAS</w:t>
      </w:r>
      <w:r/>
      <w:r>
        <w:br/>
        <w:t>- Ejercicios de respuesta a incidentes IA</w:t>
      </w:r>
      <w:r/>
      <w:r>
        <w:br/>
        <w:t>- Evaluación externa y benchmarking sectorial</w:t>
      </w:r>
      <w:r/>
      <w:r>
        <w:br/>
        <w:t xml:space="preserve">- </w:t>
      </w:r>
      <w:r>
        <w:rPr>
          <w:b/>
        </w:rPr>
        <w:t>Meta de Fase 3:</w:t>
      </w:r>
      <w:r>
        <w:t xml:space="preserve"> IGM-FAICP ≥ 3.5</w:t>
      </w:r>
    </w:p>
    <w:p>
      <w:pPr>
        <w:pStyle w:val="Heading3"/>
        <w:keepNext/>
        <w:keepLines/>
      </w:pPr>
      <w:r>
        <w:t>DIAPOSITIVA 18 — ROI de la Inversión en Ciberseguridad IA</w:t>
      </w:r>
    </w:p>
    <w:p>
      <w:r>
        <w:rPr>
          <w:b/>
        </w:rPr>
        <w:t>Tipo:</w:t>
      </w:r>
      <w:r>
        <w:t xml:space="preserve"> Modelo financiero simplificado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El caso de negocio: por qué la inversión en IGM-FAICP es rentable</w:t>
      </w:r>
    </w:p>
    <w:p>
      <w:r>
        <w:rPr>
          <w:b/>
        </w:rPr>
        <w:t>Sección izquierda — Escenarios: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Reducción Incidentes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ROSI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Payback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Conservador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[€]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[%]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[meses]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[€]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[%]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[meses]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Optimista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[€]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[%]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[meses]</w:t>
            </w:r>
          </w:p>
        </w:tc>
      </w:tr>
    </w:tbl>
    <w:p/>
    <w:p>
      <w:r>
        <w:rPr>
          <w:b/>
        </w:rPr>
        <w:t>Sección derecha — Coste del no-hacer:</w:t>
      </w:r>
      <w:r/>
      <w:r>
        <w:br/>
        <w:t>- Multa EU AI Act potencial (si incidente grave): hasta [€] calculado</w:t>
      </w:r>
      <w:r/>
      <w:r>
        <w:br/>
        <w:t>- Multa NIS2 potencial (si incidente significativo): hasta [€] calculado</w:t>
      </w:r>
      <w:r/>
      <w:r>
        <w:br/>
        <w:t>- Coste promedio de incidente IA (IBM 2025): 4.45M USD</w:t>
      </w:r>
      <w:r/>
      <w:r>
        <w:br/>
        <w:t>- Coste reputacional (difícil de cuantificar — no incluido)</w:t>
      </w:r>
    </w:p>
    <w:p>
      <w:pPr>
        <w:pStyle w:val="Heading3"/>
        <w:keepNext/>
        <w:keepLines/>
      </w:pPr>
      <w:r>
        <w:t>DIAPOSITIVA 19 — Mapeo Normativo: Obligaciones y Plazos</w:t>
      </w:r>
    </w:p>
    <w:p>
      <w:r>
        <w:rPr>
          <w:b/>
        </w:rPr>
        <w:t>Tipo:</w:t>
      </w:r>
      <w:r>
        <w:t xml:space="preserve"> Tabla de cumplimiento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Qué nos obliga la ley y en qué plazo</w:t>
      </w:r>
    </w:p>
    <w:p>
      <w:r>
        <w:rPr>
          <w:b/>
        </w:rPr>
        <w:t>Tabla de obligaciones críticas: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sistemas IA alto riesgo en EUDB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49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Inmediato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30M€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Sistema de gestión de riesgos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Inmediato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30M€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Notificación incidente NIS2 (alerta)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23.1.a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24 horas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10M€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Notificación incidente NIS2 (formal)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23.1.b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 horas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10M€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Notificación incidente IA grave a AESIA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73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 días hábiles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30M€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Notificación brecha RGPD a AEPD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 horas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20M€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Certificación ENS (AAPP)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RD 311/2022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Según categoría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[✅/🔴]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Disciplinaria</w:t>
            </w:r>
          </w:p>
        </w:tc>
      </w:tr>
    </w:tbl>
    <w:p/>
    <w:p>
      <w:pPr>
        <w:pStyle w:val="Heading3"/>
        <w:keepNext/>
        <w:keepLines/>
      </w:pPr>
      <w:r>
        <w:t>DIAPOSITIVA 20 — Responsabilidades: Quién Hace Qué</w:t>
      </w:r>
    </w:p>
    <w:p>
      <w:r>
        <w:rPr>
          <w:b/>
        </w:rPr>
        <w:t>Tipo:</w:t>
      </w:r>
      <w:r>
        <w:t xml:space="preserve"> Matriz RACI simplificada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Gobernanza del Plan de Mejora: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Consejo/Dirección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CISO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DPO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Equipo Seguridad 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Auditor Interno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Aprobar política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Calcular IGM-FAICP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Desarrollar AI-BOM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Gestionar proveedores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Aprobar inversión mejora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Notificar a AESIA/INCIBE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A/R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Revisar decisiones sistema comprometido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</w:t>
            </w:r>
          </w:p>
        </w:tc>
      </w:tr>
    </w:tbl>
    <w:p/>
    <w:p>
      <w:r>
        <w:rPr>
          <w:b/>
        </w:rPr>
        <w:t>Leyenda:</w:t>
      </w:r>
      <w:r>
        <w:t xml:space="preserve"> R=Responsable · A=Aprobador · C=Consultado · I=Informado · V=Verificador</w:t>
      </w:r>
    </w:p>
    <w:p>
      <w:pPr>
        <w:pStyle w:val="Heading3"/>
        <w:keepNext/>
        <w:keepLines/>
      </w:pPr>
      <w:r>
        <w:t>DIAPOSITIVA 21 — Próximos Pasos Inmediatos (30 días)</w:t>
      </w:r>
    </w:p>
    <w:p>
      <w:r>
        <w:rPr>
          <w:b/>
        </w:rPr>
        <w:t>Tipo:</w:t>
      </w:r>
      <w:r>
        <w:t xml:space="preserve"> Call to action ejecutivo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Lo que debe pasar en los próximos 30 días</w:t>
      </w:r>
    </w:p>
    <w:p>
      <w:r>
        <w:rPr>
          <w:b/>
        </w:rPr>
        <w:t>Formato: 5 acciones concretas con semáforo de urgencia: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🔴 URGENTE (Semana 1-2):</w:t>
        <w:br/>
        <w:t>□ Designar formalmente el Responsable de Ciberseguridad IA (IGM-GV-05)</w:t>
        <w:br/>
        <w:t>□ Iniciar el inventario AI-BOM urgente con herramientas automáticas de descubrimiento (IGM-ID-01)</w:t>
        <w:br/>
        <w:t>□ Verificar que el equipo conoce los plazos de notificación NIS2 y EU AI Act (IGM-RS-03)</w:t>
        <w:br/>
        <w:br/>
        <w:t>🟠 IMPORTANTE (Semana 3-4):</w:t>
        <w:br/>
        <w:t>□ Convocar al Comité de Dirección para aprobar la Política de Ciberseguridad IA (IGM-GV-01)</w:t>
        <w:br/>
        <w:t>□ Asignar presupuesto para el Plan de Mejora IGM-FAICP Fase 1</w:t>
        <w:br/>
      </w:r>
    </w:p>
    <w:p>
      <w:r>
        <w:rPr>
          <w:b/>
        </w:rPr>
        <w:t>Celda de decisión destacada: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DECISIÓN SOLICITADA AL CONSEJO:                    │</w:t>
        <w:br/>
        <w:t>│  Aprobación del Plan de Mejora IGM-FAICP            │</w:t>
        <w:br/>
        <w:t>│  Inversión Fase 1 (90 días): [€ calculado en HOJA 5]│</w:t>
        <w:br/>
        <w:t>│  ROI Estimado: [%] en [meses]                       │</w:t>
        <w:br/>
        <w:t>└─────────────────────────────────────────────────────┘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DIAPOSITIVA 22 — Preguntas Frecuentes del Consejo</w:t>
      </w:r>
    </w:p>
    <w:p>
      <w:r>
        <w:rPr>
          <w:b/>
        </w:rPr>
        <w:t>Tipo:</w:t>
      </w:r>
      <w:r>
        <w:t xml:space="preserve"> FAQ anticipado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Las 5 preguntas que suelen hacer el Consejo y sus respuestas directas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 (una línea)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"¿Somos legalmente responsables si un sistema de IA falla?"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Sí, bajo EU AI Act Art. 9 y 72. La responsabilidad es de quien despliega.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"¿Puede la IA protegernos de la propia IA?"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Sí — pero solo si se gobierna adecuadamente (IGM-DE-01/02).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"¿Qué pasa si no hacemos nada?"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Probabilidad de incidente grave: 87% en 12 meses (Cisco CRI 2025). Multa potencial: hasta 30M€.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"¿Cuánto cuesta y cuánto tardamos en estar seguros?"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[Insertar cifras de HOJA 5]. Nivel 3.0 en 9 meses con inversión de [€].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"¿Cómo sabemos que estamos mejorando?"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IGM-FAICP revisado semestralmente; seguimiento mensual de KPIs del plan de acción.</w:t>
            </w:r>
          </w:p>
        </w:tc>
      </w:tr>
    </w:tbl>
    <w:p/>
    <w:p>
      <w:pPr>
        <w:pStyle w:val="Heading3"/>
        <w:keepNext/>
        <w:keepLines/>
      </w:pPr>
      <w:r>
        <w:t>DIAPOSITIVA 23 — Glosario Ejecutivo</w:t>
      </w:r>
    </w:p>
    <w:p>
      <w:r>
        <w:rPr>
          <w:b/>
        </w:rPr>
        <w:t>Tipo:</w:t>
      </w:r>
      <w:r>
        <w:t xml:space="preserve"> Referencia rápida</w:t>
      </w:r>
    </w:p>
    <w:p>
      <w:r>
        <w:rPr>
          <w:b/>
        </w:rPr>
        <w:t>Título:</w:t>
      </w:r>
      <w:r>
        <w:t xml:space="preserve"> </w:t>
      </w:r>
      <w:r>
        <w:rPr>
          <w:rFonts w:ascii="Courier New" w:hAnsi="Courier New"/>
          <w:sz w:val="18"/>
        </w:rPr>
        <w:t>Términos clave sin jerga innecesaria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 ejecutiva (una línea)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IGM-FAICP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Nuestra puntuación global de ciberseguridad IA, de 1 (crítico) a 5 (líder)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AI-BOM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El inventario completo de todos los sistemas de IA que usamos, como un plano de planta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Prompt injection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Un atacante manipula un chatbot IA dándole instrucciones ocultas en el texto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Model drift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El sistema de IA empieza a dar respuestas incorrectas sin que nadie lo note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Agente 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Un sistema de IA que puede actuar en el mundo (enviar emails, ejecutar código) de forma autónoma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Shadow AI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Herramientas de IA que los empleados usan sin aprobación del departamento de TI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MTTR-AI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Cuánto tardamos en solucionar un incidente de ciberseguridad en un sistema de 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AESIA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La Agencia Española que supervisa el cumplimiento del EU AI Act (sede en A Coruña)</w:t>
            </w:r>
          </w:p>
        </w:tc>
      </w:tr>
    </w:tbl>
    <w:p/>
    <w:p>
      <w:pPr>
        <w:pStyle w:val="Heading3"/>
        <w:keepNext/>
        <w:keepLines/>
      </w:pPr>
      <w:r>
        <w:t>DIAPOSITIVA 24 — Cierre y Contacto</w:t>
      </w:r>
    </w:p>
    <w:p>
      <w:r>
        <w:rPr>
          <w:b/>
        </w:rPr>
        <w:t>Tipo:</w:t>
      </w:r>
      <w:r>
        <w:t xml:space="preserve"> Diapositiva de cierre — fondo azul oscuro</w:t>
      </w:r>
    </w:p>
    <w:p>
      <w:r>
        <w:rPr>
          <w:b/>
        </w:rPr>
        <w:t>Título (grande, blanco):</w:t>
      </w:r>
      <w:r>
        <w:t xml:space="preserve"> </w:t>
      </w:r>
      <w:r>
        <w:rPr>
          <w:rFonts w:ascii="Courier New" w:hAnsi="Courier New"/>
          <w:sz w:val="18"/>
        </w:rPr>
        <w:t>"El mapa no es el territorio. Pero sin mapa, todos los caminos llevan al riesgo."</w:t>
      </w:r>
    </w:p>
    <w:p>
      <w:r>
        <w:rPr>
          <w:b/>
        </w:rPr>
        <w:t>Información de contacto del equipo: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[Nombre del CISO] — ciso@[empresa].es</w:t>
        <w:br/>
        <w:t>[Nombre del DPO] — dpo@[empresa].es</w:t>
        <w:br/>
        <w:t>[Nombre del Responsable de Seguridad IA] — aisg@[empresa].es</w:t>
        <w:br/>
      </w:r>
    </w:p>
    <w:p>
      <w:r>
        <w:rPr>
          <w:b/>
        </w:rPr>
        <w:t>Recursos de referencia:</w:t>
      </w:r>
      <w:r/>
      <w:r>
        <w:br/>
        <w:t>- AESIA: aesia.digital.gob.es</w:t>
      </w:r>
      <w:r/>
      <w:r>
        <w:br/>
        <w:t>- INCIBE (línea de ayuda 24/7): 017</w:t>
      </w:r>
      <w:r/>
      <w:r>
        <w:br/>
        <w:t>- CCN-CERT: ccn-cert.cni.es</w:t>
      </w:r>
      <w:r/>
      <w:r>
        <w:br/>
        <w:t>- NIST AI Frameworks: airc.nist.gov</w:t>
      </w:r>
    </w:p>
    <w:p>
      <w:r>
        <w:rPr>
          <w:b/>
        </w:rPr>
        <w:t>Marcos utilizados: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NIST IR 8596 (dic. 2025) · NIST AI RMF 1.0 · EU AI Act 2024/1689 </w:t>
        <w:br/>
        <w:t>ENS RD 311/2022 · NIS2 2022/2555 · ISO/IEC 42001:2023</w:t>
        <w:br/>
        <w:t>OWASP LLM Top 10 2025 · MITRE ATLAS v5.5 (2026)</w:t>
        <w:br/>
        <w:t>Cisco Cybersecurity Readiness Index 2025</w:t>
        <w:br/>
        <w:t>ENISA Threat Landscape 2025 · WEF Global Cybersecurity Outlook 2025</w:t>
        <w:br/>
        <w:t>INCIBE Informe de Incidentes 2025</w:t>
        <w:br/>
      </w:r>
    </w:p>
    <w:p>
      <w:pPr>
        <w:pStyle w:val="Heading2"/>
        <w:keepNext/>
        <w:keepLines/>
      </w:pPr>
      <w:r>
        <w:rPr>
          <w:color w:val="0066CC"/>
        </w:rPr>
        <w:t>APÉNDICE: DIAPOSITIVAS TÉCNICAS OPCIONALES (para presentación ampliada)</w:t>
      </w:r>
    </w:p>
    <w:p>
      <w:pPr>
        <w:pStyle w:val="Heading3"/>
        <w:keepNext/>
        <w:keepLines/>
      </w:pPr>
      <w:r>
        <w:t>AT-01 — Detalle PRAGMATIC por Función</w:t>
      </w:r>
    </w:p>
    <w:p>
      <w:r>
        <w:t>Tabla expandida de los 29 indicadores con todas las puntuaciones P-R-A-G-M-Ac-T-I-C y totales.</w:t>
      </w:r>
    </w:p>
    <w:p>
      <w:pPr>
        <w:pStyle w:val="Heading3"/>
        <w:keepNext/>
        <w:keepLines/>
      </w:pPr>
      <w:r>
        <w:t>AT-02 — Mapeo Normativo por Artículo</w:t>
      </w:r>
    </w:p>
    <w:p>
      <w:r>
        <w:t>Reproductor de la tabla completa del fichero (d) Mapeo Normativo para auditorías regulatorias.</w:t>
      </w:r>
    </w:p>
    <w:p>
      <w:pPr>
        <w:pStyle w:val="Heading3"/>
        <w:keepNext/>
        <w:keepLines/>
      </w:pPr>
      <w:r>
        <w:t>AT-03 — Arquitectura Técnica de Monitorización Propuesta</w:t>
      </w:r>
    </w:p>
    <w:p>
      <w:r>
        <w:t>Diagrama de arquitectura de la solución de monitorización IA recomendada (SIEM + MLOps + AI Gateway).</w:t>
      </w:r>
    </w:p>
    <w:p>
      <w:pPr>
        <w:pStyle w:val="Heading3"/>
        <w:keepNext/>
        <w:keepLines/>
      </w:pPr>
      <w:r>
        <w:t>AT-04 — Metodología de Cálculo IGM-FAICP</w:t>
      </w:r>
    </w:p>
    <w:p>
      <w:r>
        <w:t>Fórmula matemática del IGM-FAICP con justificación de pesos y ejemplos de cálculo.</w:t>
      </w:r>
    </w:p>
    <w:p>
      <w:pPr>
        <w:pStyle w:val="Heading3"/>
        <w:keepNext/>
        <w:keepLines/>
      </w:pPr>
      <w:r>
        <w:t>AT-05 — Comparativa de Marcos Internacionales</w:t>
      </w:r>
    </w:p>
    <w:p>
      <w:r>
        <w:t>Tabla de equivalencia entre NIST IR 8596, MITRE ATLAS, OWASP LLM Top 10, ISO 42001 y EU AI Act.</w:t>
      </w:r>
    </w:p>
    <w:p>
      <w:pPr>
        <w:pStyle w:val="Heading2"/>
        <w:keepNext/>
        <w:keepLines/>
      </w:pPr>
      <w:r>
        <w:rPr>
          <w:color w:val="0066CC"/>
        </w:rPr>
        <w:t>Instrucciones de Personalización</w:t>
      </w:r>
    </w:p>
    <w:p>
      <w:pPr>
        <w:pStyle w:val="Heading3"/>
        <w:keepNext/>
        <w:keepLines/>
      </w:pPr>
      <w:r>
        <w:t>Datos a Reemplazar por la Organización</w:t>
      </w:r>
    </w:p>
    <w:p>
      <w:r>
        <w:t xml:space="preserve">Antes de presentar, sustituir todos los elementos marcados con </w:t>
      </w:r>
      <w:r>
        <w:rPr>
          <w:rFonts w:ascii="Courier New" w:hAnsi="Courier New"/>
          <w:sz w:val="18"/>
        </w:rPr>
        <w:t>[X.X]</w:t>
      </w:r>
      <w:r>
        <w:t xml:space="preserve">, </w:t>
      </w:r>
      <w:r>
        <w:rPr>
          <w:rFonts w:ascii="Courier New" w:hAnsi="Courier New"/>
          <w:sz w:val="18"/>
        </w:rPr>
        <w:t>[N]</w:t>
      </w:r>
      <w:r>
        <w:t xml:space="preserve">, </w:t>
      </w:r>
      <w:r>
        <w:rPr>
          <w:rFonts w:ascii="Courier New" w:hAnsi="Courier New"/>
          <w:sz w:val="18"/>
        </w:rPr>
        <w:t>[€]</w:t>
      </w:r>
      <w:r>
        <w:t xml:space="preserve"> o </w:t>
      </w:r>
      <w:r>
        <w:rPr>
          <w:rFonts w:ascii="Courier New" w:hAnsi="Courier New"/>
          <w:sz w:val="18"/>
        </w:rPr>
        <w:t>[nombre]</w:t>
      </w:r>
      <w:r>
        <w:t xml:space="preserve"> con:</w:t>
      </w:r>
    </w:p>
    <w:p>
      <w:pPr>
        <w:pStyle w:val="ListNumber"/>
        <w:keepLines w:val="1"/>
        <w:keepNext w:val="1"/>
        <w:widowControl w:val="1"/>
      </w:pPr>
      <w:r>
        <w:t>IGM-FAICP y puntuaciones: Extraídos de la HOJA 4 de la plantilla Excel (fichero e)</w:t>
      </w:r>
    </w:p>
    <w:p>
      <w:pPr>
        <w:pStyle w:val="ListNumber"/>
        <w:keepLines w:val="1"/>
        <w:keepNext w:val="1"/>
        <w:widowControl w:val="1"/>
      </w:pPr>
      <w:r>
        <w:t>Brechas críticas: De la HOJA 6 "Plan de Acción" de la plantilla Excel</w:t>
      </w:r>
    </w:p>
    <w:p>
      <w:pPr>
        <w:pStyle w:val="ListNumber"/>
        <w:keepLines w:val="1"/>
        <w:keepNext w:val="1"/>
        <w:widowControl w:val="1"/>
      </w:pPr>
      <w:r>
        <w:t>Inversiones y ROI: De la HOJA 5 "ROI Ciberseguridad IA"</w:t>
      </w:r>
    </w:p>
    <w:p>
      <w:pPr>
        <w:pStyle w:val="ListNumber"/>
        <w:keepLines w:val="1"/>
        <w:keepNext w:val="1"/>
        <w:widowControl w:val="1"/>
      </w:pPr>
      <w:r>
        <w:t>Nombre, CCAA, sector: De la HOJA 2 "Datos Organización"</w:t>
      </w:r>
    </w:p>
    <w:p>
      <w:pPr>
        <w:pStyle w:val="ListNumber"/>
        <w:keepLines w:val="1"/>
        <w:widowControl w:val="1"/>
      </w:pPr>
      <w:r>
        <w:t>Estado de cumplimiento normativo (✅/🔴): Evaluación jurídica propia</w:t>
      </w:r>
    </w:p>
    <w:p>
      <w:pPr>
        <w:pStyle w:val="Heading3"/>
        <w:keepNext/>
        <w:keepLines/>
      </w:pPr>
      <w:r>
        <w:t>Adaptación por Audiencia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Diapositivas recomendadas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Consejo de Administración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01, 02, 04, 05, 13, 18, 19, 21, 22, 24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20-25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Comité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01-06, 13-14, 17-21, 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35-40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/ Equipo Técnico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Presentación completa + apéndices técnicos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60-75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AESIA / Regulador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01, 03, 06, 07-12, 14, 19, 24 + AT-02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30-40 min</w:t>
            </w:r>
          </w:p>
        </w:tc>
      </w:tr>
    </w:tbl>
    <w:p/>
    <w:p>
      <w:r>
        <w:rPr>
          <w:i/>
        </w:rPr>
        <w:t>Documento parte del Kit FAICP 2025-2026 — Versión 1.0 —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