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README — Kit FAICP 2025-2026</w:t>
      </w:r>
    </w:p>
    <w:p>
      <w:pPr>
        <w:pStyle w:val="Heading2"/>
        <w:keepNext/>
        <w:keepLines/>
      </w:pPr>
      <w:r>
        <w:rPr>
          <w:color w:val="0066CC"/>
        </w:rPr>
        <w:t>Guía de Uso del Kit Completo de Evaluación de Ciberseguridad IA</w:t>
      </w:r>
    </w:p>
    <w:p>
      <w:r>
        <w:rPr>
          <w:i/>
        </w:rPr>
        <w:t>"Este kit no nació para ser archivado. Nació para ser usado, discutido, contradicho y mejorado."</w:t>
      </w:r>
    </w:p>
    <w:p>
      <w:r>
        <w:rPr>
          <w:b/>
        </w:rPr>
        <w:t>Versión:</w:t>
      </w:r>
      <w:r>
        <w:t xml:space="preserve"> 1.0 — Abril 2026</w:t>
      </w:r>
      <w:r/>
      <w:r>
        <w:br/>
      </w:r>
      <w:r>
        <w:rPr>
          <w:b/>
        </w:rPr>
        <w:t>Autoría:</w:t>
      </w:r>
      <w:r>
        <w:t xml:space="preserve"> Consorcio FAICP — CISOs, Criptógrafos, Arquitectos Zero Trust, Teóricos del Riesgo Actuarial, Estrategas de Ciberseguridad</w:t>
      </w:r>
      <w:r/>
      <w:r>
        <w:br/>
      </w:r>
      <w:r>
        <w:rPr>
          <w:b/>
        </w:rPr>
        <w:t>Distribución:</w:t>
      </w:r>
      <w:r>
        <w:t xml:space="preserve"> Libre con atribución</w:t>
      </w:r>
      <w:r/>
      <w:r>
        <w:br/>
      </w:r>
      <w:r>
        <w:rPr>
          <w:b/>
        </w:rPr>
        <w:t>Licencia:</w:t>
      </w:r>
      <w:r>
        <w:t xml:space="preserve"> CC BY 4.0 — Reconocimiento 4.0 Internacional</w:t>
      </w:r>
    </w:p>
    <w:p>
      <w:pPr>
        <w:pStyle w:val="Heading2"/>
        <w:keepNext/>
        <w:keepLines/>
      </w:pPr>
      <w:r>
        <w:rPr>
          <w:color w:val="0066CC"/>
        </w:rPr>
        <w:t>¿Qué es el Kit FAICP?</w:t>
      </w:r>
    </w:p>
    <w:p>
      <w:r>
        <w:t xml:space="preserve">El </w:t>
      </w:r>
      <w:r>
        <w:rPr>
          <w:b/>
        </w:rPr>
        <w:t>Kit FAICP 2025-2026</w:t>
      </w:r>
      <w:r>
        <w:t xml:space="preserve"> es un conjunto completo de herramientas metodológicas, analíticas y de comunicación para que organizaciones españolas —y con perspectiva comparativa mundial— evalúen, planifiquen y mejoren su postura de ciberseguridad específica para sistemas de inteligencia artificial.</w:t>
      </w:r>
    </w:p>
    <w:p>
      <w:r>
        <w:t>El kit integra los marcos más relevantes y recientes en la materia:</w:t>
      </w:r>
    </w:p>
    <w:p>
      <w:pPr>
        <w:pStyle w:val="ListBullet"/>
        <w:keepLines w:val="1"/>
        <w:keepNext w:val="1"/>
        <w:widowControl w:val="1"/>
      </w:pPr>
      <w:r>
        <w:t>NIST IR 8596 (Cyber AI Profile, publicado diciembre 2025) — el documento más reciente y completo</w:t>
      </w:r>
    </w:p>
    <w:p>
      <w:pPr>
        <w:pStyle w:val="ListBullet"/>
        <w:keepLines w:val="1"/>
        <w:keepNext w:val="1"/>
        <w:widowControl w:val="1"/>
      </w:pPr>
      <w:r>
        <w:t>NIST AI RMF 1.0 (AI 100-1) — gestión de riesgos de IA</w:t>
      </w:r>
    </w:p>
    <w:p>
      <w:pPr>
        <w:pStyle w:val="ListBullet"/>
        <w:keepLines w:val="1"/>
        <w:keepNext w:val="1"/>
        <w:widowControl w:val="1"/>
      </w:pPr>
      <w:r>
        <w:t>EU AI Act 2024/1689 — el reglamento europeo de inteligencia artificial</w:t>
      </w:r>
    </w:p>
    <w:p>
      <w:pPr>
        <w:pStyle w:val="ListBullet"/>
        <w:keepLines w:val="1"/>
        <w:keepNext w:val="1"/>
        <w:widowControl w:val="1"/>
      </w:pPr>
      <w:r>
        <w:t>ENS RD 311/2022 — Esquema Nacional de Seguridad español</w:t>
      </w:r>
    </w:p>
    <w:p>
      <w:pPr>
        <w:pStyle w:val="ListBullet"/>
        <w:keepLines w:val="1"/>
        <w:keepNext w:val="1"/>
        <w:widowControl w:val="1"/>
      </w:pPr>
      <w:r>
        <w:t>NIS2 Directiva 2022/2555 — ciberseguridad de operadores esenciales e importantes</w:t>
      </w:r>
    </w:p>
    <w:p>
      <w:pPr>
        <w:pStyle w:val="ListBullet"/>
        <w:keepLines w:val="1"/>
        <w:keepNext w:val="1"/>
        <w:widowControl w:val="1"/>
      </w:pPr>
      <w:r>
        <w:t>ISO/IEC 42001:2023 — sistema de gestión de inteligencia artificial</w:t>
      </w:r>
    </w:p>
    <w:p>
      <w:pPr>
        <w:pStyle w:val="ListBullet"/>
        <w:keepLines w:val="1"/>
        <w:keepNext w:val="1"/>
        <w:widowControl w:val="1"/>
      </w:pPr>
      <w:r>
        <w:t>OWASP LLM Top 10 2025 — vulnerabilidades específicas de grandes modelos de lenguaje</w:t>
      </w:r>
    </w:p>
    <w:p>
      <w:pPr>
        <w:pStyle w:val="ListBullet"/>
        <w:keepLines w:val="1"/>
        <w:widowControl w:val="1"/>
      </w:pPr>
      <w:r>
        <w:t>MITRE ATLAS v5.5 (marzo 2026) — amenazas adversariales a sistemas de IA</w:t>
      </w:r>
    </w:p>
    <w:p>
      <w:pPr>
        <w:pStyle w:val="Heading2"/>
        <w:keepNext/>
        <w:keepLines/>
      </w:pPr>
      <w:r>
        <w:rPr>
          <w:color w:val="0066CC"/>
        </w:rPr>
        <w:t>Estructura del Kit</w:t>
      </w:r>
    </w:p>
    <w:p>
      <w:r>
        <w:t xml:space="preserve">El kit se compone de </w:t>
      </w:r>
      <w:r>
        <w:rPr>
          <w:b/>
        </w:rPr>
        <w:t>7 documentos</w:t>
      </w:r>
      <w:r>
        <w:t>, cada uno con un propósito específico y una audiencia definida: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Archivo</w:t>
            </w:r>
          </w:p>
        </w:tc>
        <w:tc>
          <w:tcPr>
            <w:tcW w:type="dxa" w:w="2340"/>
            <w:shd w:fill="0033CC"/>
          </w:tcPr>
          <w:p>
            <w:pPr>
              <w:keepLines w:val="1"/>
              <w:keepNext w:val="1"/>
            </w:pPr>
            <w:r>
              <w:rPr>
                <w:b/>
                <w:color w:val="FFFFFF"/>
              </w:rPr>
              <w:t>Título</w:t>
            </w:r>
          </w:p>
        </w:tc>
        <w:tc>
          <w:tcPr>
            <w:tcW w:type="dxa" w:w="2340"/>
            <w:shd w:fill="0033CC"/>
          </w:tcPr>
          <w:p>
            <w:pPr>
              <w:keepLines w:val="1"/>
              <w:keepNext w:val="1"/>
            </w:pPr>
            <w:r>
              <w:rPr>
                <w:b/>
                <w:color w:val="FFFFFF"/>
              </w:rPr>
              <w:t>Propósito</w:t>
            </w:r>
          </w:p>
        </w:tc>
        <w:tc>
          <w:tcPr>
            <w:tcW w:type="dxa" w:w="2340"/>
            <w:shd w:fill="0033CC"/>
          </w:tcPr>
          <w:p>
            <w:pPr>
              <w:keepLines w:val="1"/>
              <w:keepNext w:val="1"/>
            </w:pPr>
            <w:r>
              <w:rPr>
                <w:b/>
                <w:color w:val="FFFFFF"/>
              </w:rPr>
              <w:t>Audiencia Principal</w:t>
            </w:r>
          </w:p>
        </w:tc>
      </w:tr>
      <w:tr>
        <w:trPr>
          <w:cantSplit w:val="1"/>
        </w:trPr>
        <w:tc>
          <w:tcPr>
            <w:tcW w:type="dxa" w:w="2340"/>
          </w:tcPr>
          <w:p>
            <w:pPr>
              <w:keepLines w:val="1"/>
              <w:keepNext w:val="1"/>
            </w:pPr>
            <w:r>
              <w:t>00_INFORME-FAICP-2025-2026.md</w:t>
            </w:r>
          </w:p>
        </w:tc>
        <w:tc>
          <w:tcPr>
            <w:tcW w:type="dxa" w:w="2340"/>
          </w:tcPr>
          <w:p>
            <w:pPr>
              <w:keepLines w:val="1"/>
              <w:keepNext w:val="1"/>
            </w:pPr>
            <w:r>
              <w:t>Informe Principal FAICP</w:t>
            </w:r>
          </w:p>
        </w:tc>
        <w:tc>
          <w:tcPr>
            <w:tcW w:type="dxa" w:w="2340"/>
          </w:tcPr>
          <w:p>
            <w:pPr>
              <w:keepLines w:val="1"/>
              <w:keepNext w:val="1"/>
            </w:pPr>
            <w:r>
              <w:t>Marco conceptual, estado del arte 2025-2026, perspectiva territorial por CCAA y comparativa mundial</w:t>
            </w:r>
          </w:p>
        </w:tc>
        <w:tc>
          <w:tcPr>
            <w:tcW w:type="dxa" w:w="2340"/>
          </w:tcPr>
          <w:p>
            <w:pPr>
              <w:keepLines w:val="1"/>
              <w:keepNext w:val="1"/>
            </w:pPr>
            <w:r>
              <w:t>CISO, Directivos, Investigadores</w:t>
            </w:r>
          </w:p>
        </w:tc>
      </w:tr>
      <w:tr>
        <w:trPr>
          <w:cantSplit w:val="1"/>
        </w:trPr>
        <w:tc>
          <w:tcPr>
            <w:tcW w:type="dxa" w:w="2340"/>
          </w:tcPr>
          <w:p>
            <w:pPr>
              <w:keepLines w:val="1"/>
              <w:keepNext w:val="1"/>
            </w:pPr>
            <w:r>
              <w:t>a_marco-gqm-pragmatic.md</w:t>
            </w:r>
          </w:p>
        </w:tc>
        <w:tc>
          <w:tcPr>
            <w:tcW w:type="dxa" w:w="2340"/>
          </w:tcPr>
          <w:p>
            <w:pPr>
              <w:keepLines w:val="1"/>
              <w:keepNext w:val="1"/>
            </w:pPr>
            <w:r>
              <w:t>Marco Integrativo GQM + PRAGMATIC</w:t>
            </w:r>
          </w:p>
        </w:tc>
        <w:tc>
          <w:tcPr>
            <w:tcW w:type="dxa" w:w="2340"/>
          </w:tcPr>
          <w:p>
            <w:pPr>
              <w:keepLines w:val="1"/>
              <w:keepNext w:val="1"/>
            </w:pPr>
            <w:r>
              <w:t>Fundamentación metodológica y trazabilidad objetivo↔métrica</w:t>
            </w:r>
          </w:p>
        </w:tc>
        <w:tc>
          <w:tcPr>
            <w:tcW w:type="dxa" w:w="2340"/>
          </w:tcPr>
          <w:p>
            <w:pPr>
              <w:keepLines w:val="1"/>
              <w:keepNext w:val="1"/>
            </w:pPr>
            <w:r>
              <w:t>CISO, Arquitectos de Seguridad IA, Auditores</w:t>
            </w:r>
          </w:p>
        </w:tc>
      </w:tr>
      <w:tr>
        <w:trPr>
          <w:cantSplit w:val="1"/>
        </w:trPr>
        <w:tc>
          <w:tcPr>
            <w:tcW w:type="dxa" w:w="2340"/>
          </w:tcPr>
          <w:p>
            <w:pPr>
              <w:keepLines w:val="1"/>
              <w:keepNext w:val="1"/>
            </w:pPr>
            <w:r>
              <w:t>b_matriz-pragmatic-faicp.md</w:t>
            </w:r>
          </w:p>
        </w:tc>
        <w:tc>
          <w:tcPr>
            <w:tcW w:type="dxa" w:w="2340"/>
          </w:tcPr>
          <w:p>
            <w:pPr>
              <w:keepLines w:val="1"/>
              <w:keepNext w:val="1"/>
            </w:pPr>
            <w:r>
              <w:t>Matriz PRAGMATIC Completa</w:t>
            </w:r>
          </w:p>
        </w:tc>
        <w:tc>
          <w:tcPr>
            <w:tcW w:type="dxa" w:w="2340"/>
          </w:tcPr>
          <w:p>
            <w:pPr>
              <w:keepLines w:val="1"/>
              <w:keepNext w:val="1"/>
            </w:pPr>
            <w:r>
              <w:t>Calificación de los 29 indicadores en 9 criterios de calidad</w:t>
            </w:r>
          </w:p>
        </w:tc>
        <w:tc>
          <w:tcPr>
            <w:tcW w:type="dxa" w:w="2340"/>
          </w:tcPr>
          <w:p>
            <w:pPr>
              <w:keepLines w:val="1"/>
              <w:keepNext w:val="1"/>
            </w:pPr>
            <w:r>
              <w:t>Analistas de Riesgos, Auditores, Consultores GRC</w:t>
            </w:r>
          </w:p>
        </w:tc>
      </w:tr>
      <w:tr>
        <w:trPr>
          <w:cantSplit w:val="1"/>
        </w:trPr>
        <w:tc>
          <w:tcPr>
            <w:tcW w:type="dxa" w:w="2340"/>
          </w:tcPr>
          <w:p>
            <w:pPr>
              <w:keepLines w:val="1"/>
              <w:keepNext w:val="1"/>
            </w:pPr>
            <w:r>
              <w:t>c_narrativa-faicp.md</w:t>
            </w:r>
          </w:p>
        </w:tc>
        <w:tc>
          <w:tcPr>
            <w:tcW w:type="dxa" w:w="2340"/>
          </w:tcPr>
          <w:p>
            <w:pPr>
              <w:keepLines w:val="1"/>
              <w:keepNext w:val="1"/>
            </w:pPr>
            <w:r>
              <w:t>Narrativa Explicativa</w:t>
            </w:r>
          </w:p>
        </w:tc>
        <w:tc>
          <w:tcPr>
            <w:tcW w:type="dxa" w:w="2340"/>
          </w:tcPr>
          <w:p>
            <w:pPr>
              <w:keepLines w:val="1"/>
              <w:keepNext w:val="1"/>
            </w:pPr>
            <w:r>
              <w:t>Por qué cada decisión metodológica, limitaciones y cómo usar el marco</w:t>
            </w:r>
          </w:p>
        </w:tc>
        <w:tc>
          <w:tcPr>
            <w:tcW w:type="dxa" w:w="2340"/>
          </w:tcPr>
          <w:p>
            <w:pPr>
              <w:keepLines w:val="1"/>
              <w:keepNext w:val="1"/>
            </w:pPr>
            <w:r>
              <w:t>CISO, CRO, Responsables de GRC</w:t>
            </w:r>
          </w:p>
        </w:tc>
      </w:tr>
      <w:tr>
        <w:trPr>
          <w:cantSplit w:val="1"/>
        </w:trPr>
        <w:tc>
          <w:tcPr>
            <w:tcW w:type="dxa" w:w="2340"/>
          </w:tcPr>
          <w:p>
            <w:pPr>
              <w:keepLines w:val="1"/>
              <w:keepNext w:val="1"/>
            </w:pPr>
            <w:r>
              <w:t>d_mapeo-normativo-faicp.md</w:t>
            </w:r>
          </w:p>
        </w:tc>
        <w:tc>
          <w:tcPr>
            <w:tcW w:type="dxa" w:w="2340"/>
          </w:tcPr>
          <w:p>
            <w:pPr>
              <w:keepLines w:val="1"/>
              <w:keepNext w:val="1"/>
            </w:pPr>
            <w:r>
              <w:t>Mapeo Normativo Detallado</w:t>
            </w:r>
          </w:p>
        </w:tc>
        <w:tc>
          <w:tcPr>
            <w:tcW w:type="dxa" w:w="2340"/>
          </w:tcPr>
          <w:p>
            <w:pPr>
              <w:keepLines w:val="1"/>
              <w:keepNext w:val="1"/>
            </w:pPr>
            <w:r>
              <w:t>Trazabilidad pregunta GQM → artículo normativo → régimen sancionador</w:t>
            </w:r>
          </w:p>
        </w:tc>
        <w:tc>
          <w:tcPr>
            <w:tcW w:type="dxa" w:w="2340"/>
          </w:tcPr>
          <w:p>
            <w:pPr>
              <w:keepLines w:val="1"/>
              <w:keepNext w:val="1"/>
            </w:pPr>
            <w:r>
              <w:t>DPO, Asesoría Jurídica, Compliance, Auditores</w:t>
            </w:r>
          </w:p>
        </w:tc>
      </w:tr>
      <w:tr>
        <w:trPr>
          <w:cantSplit w:val="1"/>
        </w:trPr>
        <w:tc>
          <w:tcPr>
            <w:tcW w:type="dxa" w:w="2340"/>
          </w:tcPr>
          <w:p>
            <w:pPr>
              <w:keepLines w:val="1"/>
              <w:keepNext w:val="1"/>
            </w:pPr>
            <w:r>
              <w:t>e_plantilla-igm-roi-faicp.md</w:t>
            </w:r>
          </w:p>
        </w:tc>
        <w:tc>
          <w:tcPr>
            <w:tcW w:type="dxa" w:w="2340"/>
          </w:tcPr>
          <w:p>
            <w:pPr>
              <w:keepLines w:val="1"/>
              <w:keepNext w:val="1"/>
            </w:pPr>
            <w:r>
              <w:t>Plantilla IGM + ROI (Excel)</w:t>
            </w:r>
          </w:p>
        </w:tc>
        <w:tc>
          <w:tcPr>
            <w:tcW w:type="dxa" w:w="2340"/>
          </w:tcPr>
          <w:p>
            <w:pPr>
              <w:keepLines w:val="1"/>
              <w:keepNext w:val="1"/>
            </w:pPr>
            <w:r>
              <w:t>Especificación técnica completa de la calculadora Excel</w:t>
            </w:r>
          </w:p>
        </w:tc>
        <w:tc>
          <w:tcPr>
            <w:tcW w:type="dxa" w:w="2340"/>
          </w:tcPr>
          <w:p>
            <w:pPr>
              <w:keepLines w:val="1"/>
              <w:keepNext w:val="1"/>
            </w:pPr>
            <w:r>
              <w:t>Analistas, Consultores, Responsables de Ciberseguridad</w:t>
            </w:r>
          </w:p>
        </w:tc>
      </w:tr>
      <w:tr>
        <w:trPr>
          <w:cantSplit w:val="1"/>
        </w:trPr>
        <w:tc>
          <w:tcPr>
            <w:tcW w:type="dxa" w:w="2340"/>
          </w:tcPr>
          <w:p>
            <w:pPr>
              <w:keepLines w:val="1"/>
            </w:pPr>
            <w:r>
              <w:t>f_plantilla-ppt-faicp.md</w:t>
            </w:r>
          </w:p>
        </w:tc>
        <w:tc>
          <w:tcPr>
            <w:tcW w:type="dxa" w:w="2340"/>
          </w:tcPr>
          <w:p>
            <w:pPr>
              <w:keepLines w:val="1"/>
            </w:pPr>
            <w:r>
              <w:t>Plantilla PowerPoint</w:t>
            </w:r>
          </w:p>
        </w:tc>
        <w:tc>
          <w:tcPr>
            <w:tcW w:type="dxa" w:w="2340"/>
          </w:tcPr>
          <w:p>
            <w:pPr>
              <w:keepLines w:val="1"/>
            </w:pPr>
            <w:r>
              <w:t>24 diapositivas especificadas para el reporte ejecutivo</w:t>
            </w:r>
          </w:p>
        </w:tc>
        <w:tc>
          <w:tcPr>
            <w:tcW w:type="dxa" w:w="2340"/>
          </w:tcPr>
          <w:p>
            <w:pPr>
              <w:keepLines w:val="1"/>
            </w:pPr>
            <w:r>
              <w:t>CISO para presentaciones a Consejo, Comité de Riesgos</w:t>
            </w:r>
          </w:p>
        </w:tc>
      </w:tr>
    </w:tbl>
    <w:p/>
    <w:p>
      <w:pPr>
        <w:pStyle w:val="Heading2"/>
        <w:keepNext/>
        <w:keepLines/>
      </w:pPr>
      <w:r>
        <w:rPr>
          <w:color w:val="0066CC"/>
        </w:rPr>
        <w:t>Cómo Usar el Kit: Flujo de Trabajo Recomendado</w:t>
      </w:r>
    </w:p>
    <w:p>
      <w:pPr>
        <w:pStyle w:val="Heading3"/>
        <w:keepNext/>
        <w:keepLines/>
      </w:pPr>
      <w:r>
        <w:t>FASE 0 — Preparación (2-3 días)</w:t>
      </w:r>
    </w:p>
    <w:p>
      <w:r>
        <w:rPr>
          <w:b/>
        </w:rPr>
        <w:t>Objetivo:</w:t>
      </w:r>
      <w:r>
        <w:t xml:space="preserve"> Entender el contexto antes de medir.</w:t>
      </w:r>
    </w:p>
    <w:p>
      <w:pPr>
        <w:pStyle w:val="ListNumber"/>
        <w:keepLines w:val="1"/>
        <w:keepNext w:val="1"/>
        <w:widowControl w:val="1"/>
      </w:pPr>
      <w:r>
        <w:t>Leer el Informe Principal (00_INFORME-FAICP-2025-2026.md) — Especialmente las Partes I y III para entender el marco y la situación española.</w:t>
      </w:r>
    </w:p>
    <w:p>
      <w:pPr>
        <w:pStyle w:val="ListNumber"/>
        <w:keepLines w:val="1"/>
        <w:keepNext w:val="1"/>
        <w:widowControl w:val="1"/>
      </w:pPr>
      <w:r>
        <w:t>Leer la Narrativa Explicativa (c_narrativa-faicp.md) — Para entender las decisiones metodológicas y evitar los errores más comunes.</w:t>
      </w:r>
    </w:p>
    <w:p>
      <w:pPr>
        <w:pStyle w:val="ListNumber"/>
        <w:keepLines w:val="1"/>
        <w:widowControl w:val="1"/>
      </w:pPr>
      <w:r>
        <w:t>Revisar el Mapeo Normativo (d_mapeo-normativo-faicp.md) — Para identificar qué obligaciones legales aplican a su organización según su perfil (OE/OI NIS2, AAPP ENS, ProvIA/DesplIA EU AI Act, EntFin DORA).</w:t>
      </w:r>
    </w:p>
    <w:p>
      <w:r>
        <w:rPr>
          <w:b/>
        </w:rPr>
        <w:t>Pregunta clave de esta fase:</w:t>
      </w:r>
      <w:r>
        <w:t xml:space="preserve"> ¿Cuáles de los 5 perfiles regulatorios aplican a mi organización?</w:t>
      </w:r>
    </w:p>
    <w:p>
      <w:pPr>
        <w:pStyle w:val="Heading3"/>
        <w:keepNext/>
        <w:keepLines/>
      </w:pPr>
      <w:r>
        <w:t>FASE 1 — Autoevaluación IGM-FAICP (3-5 días)</w:t>
      </w:r>
    </w:p>
    <w:p>
      <w:r>
        <w:rPr>
          <w:b/>
        </w:rPr>
        <w:t>Objetivo:</w:t>
      </w:r>
      <w:r>
        <w:t xml:space="preserve"> Establecer el baseline de madurez con la mayor honestidad posible.</w:t>
      </w:r>
    </w:p>
    <w:p>
      <w:pPr>
        <w:pStyle w:val="ListNumber"/>
        <w:keepLines w:val="1"/>
        <w:keepNext w:val="1"/>
        <w:widowControl w:val="1"/>
      </w:pPr>
      <w:r>
        <w:t>Implementar la Plantilla Excel siguiendo las especificaciones de e_plantilla-igm-roi-faicp.md:</w:t>
      </w:r>
    </w:p>
    <w:p>
      <w:pPr>
        <w:pStyle w:val="ListNumber"/>
        <w:keepLines w:val="1"/>
        <w:keepNext w:val="1"/>
        <w:widowControl w:val="1"/>
      </w:pPr>
      <w:r>
        <w:t>Crear el archivo en Excel/Google Sheets con las 7 hojas especificadas</w:t>
      </w:r>
    </w:p>
    <w:p>
      <w:pPr>
        <w:pStyle w:val="ListNumber"/>
        <w:keepLines w:val="1"/>
        <w:keepNext w:val="1"/>
        <w:widowControl w:val="1"/>
      </w:pPr>
      <w:r>
        <w:t>Completar la HOJA 2 (Datos de la Organización)</w:t>
      </w:r>
    </w:p>
    <w:p>
      <w:pPr>
        <w:pStyle w:val="ListNumber"/>
        <w:keepLines w:val="1"/>
        <w:keepNext w:val="1"/>
        <w:widowControl w:val="1"/>
      </w:pPr>
      <w:r>
        <w:br/>
        <w:t>Puntuar los 29 indicadores en la HOJA 3 (Autoevaluación)</w:t>
        <w:br/>
      </w:r>
    </w:p>
    <w:p>
      <w:pPr>
        <w:pStyle w:val="ListNumber"/>
        <w:keepLines w:val="1"/>
        <w:keepNext w:val="1"/>
        <w:widowControl w:val="1"/>
      </w:pPr>
      <w:r>
        <w:br/>
        <w:t>Principio de genuinidad: Puntuar con honestidad. Cuando haya duda entre puntuar 2 o 3, puntuar 2. La subvaloración honesta es más útil que la sobrevaloración optimista.</w:t>
        <w:br/>
      </w:r>
    </w:p>
    <w:p>
      <w:pPr>
        <w:pStyle w:val="ListNumber"/>
        <w:keepLines w:val="1"/>
        <w:keepNext w:val="1"/>
        <w:widowControl w:val="1"/>
      </w:pPr>
      <w:r>
        <w:br/>
        <w:t>Recoger evidencias: Para cada indicador, documentar en la columna G de la HOJA 3 la evidencia que respalda la puntuación (documento, fecha, sistema).</w:t>
        <w:br/>
      </w:r>
    </w:p>
    <w:p>
      <w:pPr>
        <w:pStyle w:val="ListNumber"/>
        <w:keepLines w:val="1"/>
        <w:widowControl w:val="1"/>
      </w:pPr>
      <w:r>
        <w:br/>
        <w:t>Calcular el IGM-FAICP total (HOJA 4 — cálculo automático).</w:t>
        <w:br/>
      </w:r>
    </w:p>
    <w:p>
      <w:r>
        <w:t>Puntuar los 29 indicadores en la HOJA 3 (Autoevaluación)</w:t>
      </w:r>
    </w:p>
    <w:p>
      <w:r>
        <w:rPr>
          <w:b/>
        </w:rPr>
        <w:t>Principio de genuinidad:</w:t>
      </w:r>
      <w:r>
        <w:t xml:space="preserve"> Puntuar con honestidad. Cuando haya duda entre puntuar 2 o 3, puntuar 2. La subvaloración honesta es más útil que la sobrevaloración optimista.</w:t>
      </w:r>
    </w:p>
    <w:p>
      <w:r>
        <w:rPr>
          <w:b/>
        </w:rPr>
        <w:t>Recoger evidencias:</w:t>
      </w:r>
      <w:r>
        <w:t xml:space="preserve"> Para cada indicador, documentar en la columna G de la HOJA 3 la evidencia que respalda la puntuación (documento, fecha, sistema).</w:t>
      </w:r>
    </w:p>
    <w:p>
      <w:r>
        <w:rPr>
          <w:b/>
        </w:rPr>
        <w:t>Calcular el IGM-FAICP total</w:t>
      </w:r>
      <w:r>
        <w:t xml:space="preserve"> (HOJA 4 — cálculo automático).</w:t>
      </w:r>
    </w:p>
    <w:p>
      <w:r>
        <w:rPr>
          <w:b/>
        </w:rPr>
        <w:t>Indicadores Tier 1 que no pueden quedar sin puntuar:</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Código</w:t>
            </w:r>
          </w:p>
        </w:tc>
        <w:tc>
          <w:tcPr>
            <w:tcW w:type="dxa" w:w="4680"/>
            <w:shd w:fill="0033CC"/>
          </w:tcPr>
          <w:p>
            <w:pPr>
              <w:keepLines w:val="1"/>
              <w:keepNext w:val="1"/>
            </w:pPr>
            <w:r>
              <w:rPr>
                <w:b/>
                <w:color w:val="FFFFFF"/>
              </w:rPr>
              <w:t>Indicador</w:t>
            </w:r>
          </w:p>
        </w:tc>
      </w:tr>
      <w:tr>
        <w:trPr>
          <w:cantSplit w:val="1"/>
        </w:trPr>
        <w:tc>
          <w:tcPr>
            <w:tcW w:type="dxa" w:w="4680"/>
          </w:tcPr>
          <w:p>
            <w:pPr>
              <w:keepLines w:val="1"/>
              <w:keepNext w:val="1"/>
            </w:pPr>
            <w:r>
              <w:t>IGM-GV-01</w:t>
            </w:r>
          </w:p>
        </w:tc>
        <w:tc>
          <w:tcPr>
            <w:tcW w:type="dxa" w:w="4680"/>
          </w:tcPr>
          <w:p>
            <w:pPr>
              <w:keepLines w:val="1"/>
              <w:keepNext w:val="1"/>
            </w:pPr>
            <w:r>
              <w:t>Política formal de ciberseguridad para IA</w:t>
            </w:r>
          </w:p>
        </w:tc>
      </w:tr>
      <w:tr>
        <w:trPr>
          <w:cantSplit w:val="1"/>
        </w:trPr>
        <w:tc>
          <w:tcPr>
            <w:tcW w:type="dxa" w:w="4680"/>
          </w:tcPr>
          <w:p>
            <w:pPr>
              <w:keepLines w:val="1"/>
              <w:keepNext w:val="1"/>
            </w:pPr>
            <w:r>
              <w:t>IGM-GV-02</w:t>
            </w:r>
          </w:p>
        </w:tc>
        <w:tc>
          <w:tcPr>
            <w:tcW w:type="dxa" w:w="4680"/>
          </w:tcPr>
          <w:p>
            <w:pPr>
              <w:keepLines w:val="1"/>
              <w:keepNext w:val="1"/>
            </w:pPr>
            <w:r>
              <w:t>Mapa de dependencias de infraestructura IA</w:t>
            </w:r>
          </w:p>
        </w:tc>
      </w:tr>
      <w:tr>
        <w:trPr>
          <w:cantSplit w:val="1"/>
        </w:trPr>
        <w:tc>
          <w:tcPr>
            <w:tcW w:type="dxa" w:w="4680"/>
          </w:tcPr>
          <w:p>
            <w:pPr>
              <w:keepLines w:val="1"/>
              <w:keepNext w:val="1"/>
            </w:pPr>
            <w:r>
              <w:t>IGM-GV-03</w:t>
            </w:r>
          </w:p>
        </w:tc>
        <w:tc>
          <w:tcPr>
            <w:tcW w:type="dxa" w:w="4680"/>
          </w:tcPr>
          <w:p>
            <w:pPr>
              <w:keepLines w:val="1"/>
              <w:keepNext w:val="1"/>
            </w:pPr>
            <w:r>
              <w:t>Formación en amenazas IA adversarial</w:t>
            </w:r>
          </w:p>
        </w:tc>
      </w:tr>
      <w:tr>
        <w:trPr>
          <w:cantSplit w:val="1"/>
        </w:trPr>
        <w:tc>
          <w:tcPr>
            <w:tcW w:type="dxa" w:w="4680"/>
          </w:tcPr>
          <w:p>
            <w:pPr>
              <w:keepLines w:val="1"/>
              <w:keepNext w:val="1"/>
            </w:pPr>
            <w:r>
              <w:t>IGM-GV-04</w:t>
            </w:r>
          </w:p>
        </w:tc>
        <w:tc>
          <w:tcPr>
            <w:tcW w:type="dxa" w:w="4680"/>
          </w:tcPr>
          <w:p>
            <w:pPr>
              <w:keepLines w:val="1"/>
              <w:keepNext w:val="1"/>
            </w:pPr>
            <w:r>
              <w:t>Evaluación de proveedores de IA</w:t>
            </w:r>
          </w:p>
        </w:tc>
      </w:tr>
      <w:tr>
        <w:trPr>
          <w:cantSplit w:val="1"/>
        </w:trPr>
        <w:tc>
          <w:tcPr>
            <w:tcW w:type="dxa" w:w="4680"/>
          </w:tcPr>
          <w:p>
            <w:pPr>
              <w:keepLines w:val="1"/>
              <w:keepNext w:val="1"/>
            </w:pPr>
            <w:r>
              <w:t>IGM-ID-01</w:t>
            </w:r>
          </w:p>
        </w:tc>
        <w:tc>
          <w:tcPr>
            <w:tcW w:type="dxa" w:w="4680"/>
          </w:tcPr>
          <w:p>
            <w:pPr>
              <w:keepLines w:val="1"/>
              <w:keepNext w:val="1"/>
            </w:pPr>
            <w:r>
              <w:t>AI-BOM completo</w:t>
            </w:r>
          </w:p>
        </w:tc>
      </w:tr>
      <w:tr>
        <w:trPr>
          <w:cantSplit w:val="1"/>
        </w:trPr>
        <w:tc>
          <w:tcPr>
            <w:tcW w:type="dxa" w:w="4680"/>
          </w:tcPr>
          <w:p>
            <w:pPr>
              <w:keepLines w:val="1"/>
              <w:keepNext w:val="1"/>
            </w:pPr>
            <w:r>
              <w:t>IGM-ID-02</w:t>
            </w:r>
          </w:p>
        </w:tc>
        <w:tc>
          <w:tcPr>
            <w:tcW w:type="dxa" w:w="4680"/>
          </w:tcPr>
          <w:p>
            <w:pPr>
              <w:keepLines w:val="1"/>
              <w:keepNext w:val="1"/>
            </w:pPr>
            <w:r>
              <w:t>Evaluación vulnerabilidades OWASP LLM Top 10</w:t>
            </w:r>
          </w:p>
        </w:tc>
      </w:tr>
      <w:tr>
        <w:trPr>
          <w:cantSplit w:val="1"/>
        </w:trPr>
        <w:tc>
          <w:tcPr>
            <w:tcW w:type="dxa" w:w="4680"/>
          </w:tcPr>
          <w:p>
            <w:pPr>
              <w:keepLines w:val="1"/>
              <w:keepNext w:val="1"/>
            </w:pPr>
            <w:r>
              <w:t>IGM-ID-05</w:t>
            </w:r>
          </w:p>
        </w:tc>
        <w:tc>
          <w:tcPr>
            <w:tcW w:type="dxa" w:w="4680"/>
          </w:tcPr>
          <w:p>
            <w:pPr>
              <w:keepLines w:val="1"/>
              <w:keepNext w:val="1"/>
            </w:pPr>
            <w:r>
              <w:t>Análisis cadena de suministro IA</w:t>
            </w:r>
          </w:p>
        </w:tc>
      </w:tr>
      <w:tr>
        <w:trPr>
          <w:cantSplit w:val="1"/>
        </w:trPr>
        <w:tc>
          <w:tcPr>
            <w:tcW w:type="dxa" w:w="4680"/>
          </w:tcPr>
          <w:p>
            <w:pPr>
              <w:keepLines w:val="1"/>
              <w:keepNext w:val="1"/>
            </w:pPr>
            <w:r>
              <w:t>IGM-PR-01</w:t>
            </w:r>
          </w:p>
        </w:tc>
        <w:tc>
          <w:tcPr>
            <w:tcW w:type="dxa" w:w="4680"/>
          </w:tcPr>
          <w:p>
            <w:pPr>
              <w:keepLines w:val="1"/>
              <w:keepNext w:val="1"/>
            </w:pPr>
            <w:r>
              <w:t>IAM para sistemas y agentes IA</w:t>
            </w:r>
          </w:p>
        </w:tc>
      </w:tr>
      <w:tr>
        <w:trPr>
          <w:cantSplit w:val="1"/>
        </w:trPr>
        <w:tc>
          <w:tcPr>
            <w:tcW w:type="dxa" w:w="4680"/>
          </w:tcPr>
          <w:p>
            <w:pPr>
              <w:keepLines w:val="1"/>
              <w:keepNext w:val="1"/>
            </w:pPr>
            <w:r>
              <w:t>IGM-PR-02</w:t>
            </w:r>
          </w:p>
        </w:tc>
        <w:tc>
          <w:tcPr>
            <w:tcW w:type="dxa" w:w="4680"/>
          </w:tcPr>
          <w:p>
            <w:pPr>
              <w:keepLines w:val="1"/>
              <w:keepNext w:val="1"/>
            </w:pPr>
            <w:r>
              <w:t>Menor privilegio en agentes IA</w:t>
            </w:r>
          </w:p>
        </w:tc>
      </w:tr>
      <w:tr>
        <w:trPr>
          <w:cantSplit w:val="1"/>
        </w:trPr>
        <w:tc>
          <w:tcPr>
            <w:tcW w:type="dxa" w:w="4680"/>
          </w:tcPr>
          <w:p>
            <w:pPr>
              <w:keepLines w:val="1"/>
              <w:keepNext w:val="1"/>
            </w:pPr>
            <w:r>
              <w:t>IGM-PR-03</w:t>
            </w:r>
          </w:p>
        </w:tc>
        <w:tc>
          <w:tcPr>
            <w:tcW w:type="dxa" w:w="4680"/>
          </w:tcPr>
          <w:p>
            <w:pPr>
              <w:keepLines w:val="1"/>
              <w:keepNext w:val="1"/>
            </w:pPr>
            <w:r>
              <w:t>Formación en amenazas IA</w:t>
            </w:r>
          </w:p>
        </w:tc>
      </w:tr>
      <w:tr>
        <w:trPr>
          <w:cantSplit w:val="1"/>
        </w:trPr>
        <w:tc>
          <w:tcPr>
            <w:tcW w:type="dxa" w:w="4680"/>
          </w:tcPr>
          <w:p>
            <w:pPr>
              <w:keepLines w:val="1"/>
              <w:keepNext w:val="1"/>
            </w:pPr>
            <w:r>
              <w:t>IGM-PR-04</w:t>
            </w:r>
          </w:p>
        </w:tc>
        <w:tc>
          <w:tcPr>
            <w:tcW w:type="dxa" w:w="4680"/>
          </w:tcPr>
          <w:p>
            <w:pPr>
              <w:keepLines w:val="1"/>
              <w:keepNext w:val="1"/>
            </w:pPr>
            <w:r>
              <w:t>Protección datos de entrenamiento</w:t>
            </w:r>
          </w:p>
        </w:tc>
      </w:tr>
      <w:tr>
        <w:trPr>
          <w:cantSplit w:val="1"/>
        </w:trPr>
        <w:tc>
          <w:tcPr>
            <w:tcW w:type="dxa" w:w="4680"/>
          </w:tcPr>
          <w:p>
            <w:pPr>
              <w:keepLines w:val="1"/>
              <w:keepNext w:val="1"/>
            </w:pPr>
            <w:r>
              <w:t>IGM-DE-01</w:t>
            </w:r>
          </w:p>
        </w:tc>
        <w:tc>
          <w:tcPr>
            <w:tcW w:type="dxa" w:w="4680"/>
          </w:tcPr>
          <w:p>
            <w:pPr>
              <w:keepLines w:val="1"/>
              <w:keepNext w:val="1"/>
            </w:pPr>
            <w:r>
              <w:t>Monitorización de APIs IA externas</w:t>
            </w:r>
          </w:p>
        </w:tc>
      </w:tr>
      <w:tr>
        <w:trPr>
          <w:cantSplit w:val="1"/>
        </w:trPr>
        <w:tc>
          <w:tcPr>
            <w:tcW w:type="dxa" w:w="4680"/>
          </w:tcPr>
          <w:p>
            <w:pPr>
              <w:keepLines w:val="1"/>
              <w:keepNext w:val="1"/>
            </w:pPr>
            <w:r>
              <w:t>IGM-DE-02</w:t>
            </w:r>
          </w:p>
        </w:tc>
        <w:tc>
          <w:tcPr>
            <w:tcW w:type="dxa" w:w="4680"/>
          </w:tcPr>
          <w:p>
            <w:pPr>
              <w:keepLines w:val="1"/>
              <w:keepNext w:val="1"/>
            </w:pPr>
            <w:r>
              <w:t>Monitorización en tiempo de ejecución</w:t>
            </w:r>
          </w:p>
        </w:tc>
      </w:tr>
      <w:tr>
        <w:trPr>
          <w:cantSplit w:val="1"/>
        </w:trPr>
        <w:tc>
          <w:tcPr>
            <w:tcW w:type="dxa" w:w="4680"/>
          </w:tcPr>
          <w:p>
            <w:pPr>
              <w:keepLines w:val="1"/>
              <w:keepNext w:val="1"/>
            </w:pPr>
            <w:r>
              <w:t>IGM-DE-05</w:t>
            </w:r>
          </w:p>
        </w:tc>
        <w:tc>
          <w:tcPr>
            <w:tcW w:type="dxa" w:w="4680"/>
          </w:tcPr>
          <w:p>
            <w:pPr>
              <w:keepLines w:val="1"/>
              <w:keepNext w:val="1"/>
            </w:pPr>
            <w:r>
              <w:t>Controles de detección prompt injection</w:t>
            </w:r>
          </w:p>
        </w:tc>
      </w:tr>
      <w:tr>
        <w:trPr>
          <w:cantSplit w:val="1"/>
        </w:trPr>
        <w:tc>
          <w:tcPr>
            <w:tcW w:type="dxa" w:w="4680"/>
          </w:tcPr>
          <w:p>
            <w:pPr>
              <w:keepLines w:val="1"/>
              <w:keepNext w:val="1"/>
            </w:pPr>
            <w:r>
              <w:t>IGM-RS-01</w:t>
            </w:r>
          </w:p>
        </w:tc>
        <w:tc>
          <w:tcPr>
            <w:tcW w:type="dxa" w:w="4680"/>
          </w:tcPr>
          <w:p>
            <w:pPr>
              <w:keepLines w:val="1"/>
              <w:keepNext w:val="1"/>
            </w:pPr>
            <w:r>
              <w:t>Playbooks de respuesta IA</w:t>
            </w:r>
          </w:p>
        </w:tc>
      </w:tr>
      <w:tr>
        <w:trPr>
          <w:cantSplit w:val="1"/>
        </w:trPr>
        <w:tc>
          <w:tcPr>
            <w:tcW w:type="dxa" w:w="4680"/>
          </w:tcPr>
          <w:p>
            <w:pPr>
              <w:keepLines w:val="1"/>
              <w:keepNext w:val="1"/>
            </w:pPr>
            <w:r>
              <w:t>IGM-RS-03</w:t>
            </w:r>
          </w:p>
        </w:tc>
        <w:tc>
          <w:tcPr>
            <w:tcW w:type="dxa" w:w="4680"/>
          </w:tcPr>
          <w:p>
            <w:pPr>
              <w:keepLines w:val="1"/>
              <w:keepNext w:val="1"/>
            </w:pPr>
            <w:r>
              <w:t>Plazos de notificación regulatoria</w:t>
            </w:r>
          </w:p>
        </w:tc>
      </w:tr>
      <w:tr>
        <w:trPr>
          <w:cantSplit w:val="1"/>
        </w:trPr>
        <w:tc>
          <w:tcPr>
            <w:tcW w:type="dxa" w:w="4680"/>
          </w:tcPr>
          <w:p>
            <w:pPr>
              <w:keepLines w:val="1"/>
              <w:keepNext w:val="1"/>
            </w:pPr>
            <w:r>
              <w:t>IGM-RS-04</w:t>
            </w:r>
          </w:p>
        </w:tc>
        <w:tc>
          <w:tcPr>
            <w:tcW w:type="dxa" w:w="4680"/>
          </w:tcPr>
          <w:p>
            <w:pPr>
              <w:keepLines w:val="1"/>
              <w:keepNext w:val="1"/>
            </w:pPr>
            <w:r>
              <w:t>MTTR-AI medido</w:t>
            </w:r>
          </w:p>
        </w:tc>
      </w:tr>
      <w:tr>
        <w:trPr>
          <w:cantSplit w:val="1"/>
        </w:trPr>
        <w:tc>
          <w:tcPr>
            <w:tcW w:type="dxa" w:w="4680"/>
          </w:tcPr>
          <w:p>
            <w:pPr>
              <w:keepLines w:val="1"/>
              <w:keepNext w:val="1"/>
            </w:pPr>
            <w:r>
              <w:t>IGM-RC-01</w:t>
            </w:r>
          </w:p>
        </w:tc>
        <w:tc>
          <w:tcPr>
            <w:tcW w:type="dxa" w:w="4680"/>
          </w:tcPr>
          <w:p>
            <w:pPr>
              <w:keepLines w:val="1"/>
              <w:keepNext w:val="1"/>
            </w:pPr>
            <w:r>
              <w:t>Planes de recuperación con rollback</w:t>
            </w:r>
          </w:p>
        </w:tc>
      </w:tr>
      <w:tr>
        <w:trPr>
          <w:cantSplit w:val="1"/>
        </w:trPr>
        <w:tc>
          <w:tcPr>
            <w:tcW w:type="dxa" w:w="4680"/>
          </w:tcPr>
          <w:p>
            <w:pPr>
              <w:keepLines w:val="1"/>
            </w:pPr>
            <w:r>
              <w:t>IGM-RC-02</w:t>
            </w:r>
          </w:p>
        </w:tc>
        <w:tc>
          <w:tcPr>
            <w:tcW w:type="dxa" w:w="4680"/>
          </w:tcPr>
          <w:p>
            <w:pPr>
              <w:keepLines w:val="1"/>
            </w:pPr>
            <w:r>
              <w:t>RTO-AI definido y verificado</w:t>
            </w:r>
          </w:p>
        </w:tc>
      </w:tr>
    </w:tbl>
    <w:p/>
    <w:p>
      <w:pPr>
        <w:pStyle w:val="Heading3"/>
        <w:keepNext/>
        <w:keepLines/>
      </w:pPr>
      <w:r>
        <w:t>FASE 2 — Análisis de Calidad de Métricas (1 día)</w:t>
      </w:r>
    </w:p>
    <w:p>
      <w:r>
        <w:rPr>
          <w:b/>
        </w:rPr>
        <w:t>Objetivo:</w:t>
      </w:r>
      <w:r>
        <w:t xml:space="preserve"> Verificar que las métricas utilizadas son de calidad suficiente.</w:t>
      </w:r>
    </w:p>
    <w:p>
      <w:pPr>
        <w:pStyle w:val="ListNumber"/>
        <w:keepLines w:val="1"/>
        <w:keepNext w:val="1"/>
        <w:widowControl w:val="1"/>
      </w:pPr>
      <w:r>
        <w:t>Revisar la Matriz PRAGMATIC (b_matriz-pragmatic-faicp.md) para cada indicador donde la puntuación sea ≤ 3.</w:t>
      </w:r>
    </w:p>
    <w:p>
      <w:pPr>
        <w:pStyle w:val="ListNumber"/>
        <w:keepLines w:val="1"/>
        <w:keepNext w:val="1"/>
        <w:widowControl w:val="1"/>
      </w:pPr>
      <w:r>
        <w:t>Prestar especial atención al criterio G (Genuino) — ¿hay riesgo de que la puntuación asignada sea optimista?</w:t>
      </w:r>
    </w:p>
    <w:p>
      <w:pPr>
        <w:pStyle w:val="ListNumber"/>
        <w:keepLines w:val="1"/>
        <w:widowControl w:val="1"/>
      </w:pPr>
      <w:r>
        <w:t>Para los 3 indicadores condicionales (IGM-ID-03, IGM-DE-04, IGM-RS-02), interpretar las puntuaciones bajas con el contexto: son difíciles para todas las organizaciones, no solo para la propia.</w:t>
      </w:r>
    </w:p>
    <w:p>
      <w:pPr>
        <w:pStyle w:val="Heading3"/>
        <w:keepNext/>
        <w:keepLines/>
      </w:pPr>
      <w:r>
        <w:t>FASE 3 — Modelo de ROI (1-2 días)</w:t>
      </w:r>
    </w:p>
    <w:p>
      <w:r>
        <w:rPr>
          <w:b/>
        </w:rPr>
        <w:t>Objetivo:</w:t>
      </w:r>
      <w:r>
        <w:t xml:space="preserve"> Construir el caso de negocio para la inversión en mejora.</w:t>
      </w:r>
    </w:p>
    <w:p>
      <w:pPr>
        <w:pStyle w:val="ListNumber"/>
        <w:keepLines w:val="1"/>
        <w:keepNext w:val="1"/>
        <w:widowControl w:val="1"/>
      </w:pPr>
      <w:r>
        <w:t>Completar la HOJA 5 (ROI Ciberseguridad IA) de la plantilla Excel con:</w:t>
      </w:r>
    </w:p>
    <w:p>
      <w:pPr>
        <w:pStyle w:val="ListNumber"/>
        <w:keepLines w:val="1"/>
        <w:keepNext w:val="1"/>
        <w:widowControl w:val="1"/>
      </w:pPr>
      <w:r>
        <w:t>Coste estimado de un incidente IA en su organización</w:t>
      </w:r>
    </w:p>
    <w:p>
      <w:pPr>
        <w:pStyle w:val="ListNumber"/>
        <w:keepLines w:val="1"/>
        <w:keepNext w:val="1"/>
        <w:widowControl w:val="1"/>
      </w:pPr>
      <w:r>
        <w:t>Número de incidentes esperados sin mejoras (usar como referencia: si el sector tiene perfil similar al español, la probabilidad es del 87% de sufrir al menos uno)</w:t>
      </w:r>
    </w:p>
    <w:p>
      <w:pPr>
        <w:pStyle w:val="ListNumber"/>
        <w:keepLines w:val="1"/>
        <w:keepNext w:val="1"/>
        <w:widowControl w:val="1"/>
      </w:pPr>
      <w:r>
        <w:br/>
        <w:t>Inversión prevista por fase</w:t>
        <w:br/>
      </w:r>
    </w:p>
    <w:p>
      <w:pPr>
        <w:pStyle w:val="ListNumber"/>
        <w:keepLines w:val="1"/>
        <w:keepNext w:val="1"/>
        <w:widowControl w:val="1"/>
      </w:pPr>
      <w:r>
        <w:br/>
        <w:t>Calcular los tres escenarios (conservador, base, optimista).</w:t>
        <w:br/>
      </w:r>
    </w:p>
    <w:p>
      <w:pPr>
        <w:pStyle w:val="ListNumber"/>
        <w:keepLines w:val="1"/>
        <w:widowControl w:val="1"/>
      </w:pPr>
      <w:r>
        <w:br/>
        <w:t>Añadir las multas regulatorias potenciales para su perfil normativo específico (ver d_mapeo-normativo-faicp.md — Sección: Cuadro Sinóptico de Marcos).</w:t>
        <w:br/>
      </w:r>
    </w:p>
    <w:p>
      <w:r>
        <w:t>Inversión prevista por fase</w:t>
      </w:r>
    </w:p>
    <w:p>
      <w:r>
        <w:t>Calcular los tres escenarios (conservador, base, optimista).</w:t>
      </w:r>
    </w:p>
    <w:p>
      <w:r>
        <w:t xml:space="preserve">Añadir las multas regulatorias potenciales para su perfil normativo específico (ver </w:t>
      </w:r>
      <w:r>
        <w:rPr>
          <w:rFonts w:ascii="Courier New" w:hAnsi="Courier New"/>
          <w:sz w:val="18"/>
        </w:rPr>
        <w:t>d_mapeo-normativo-faicp.md</w:t>
      </w:r>
      <w:r>
        <w:t xml:space="preserve"> — Sección: Cuadro Sinóptico de Marcos).</w:t>
      </w:r>
    </w:p>
    <w:p>
      <w:pPr>
        <w:pStyle w:val="Heading3"/>
        <w:keepNext/>
        <w:keepLines/>
      </w:pPr>
      <w:r>
        <w:t>FASE 4 — Plan de Acción (2 días)</w:t>
      </w:r>
    </w:p>
    <w:p>
      <w:r>
        <w:rPr>
          <w:b/>
        </w:rPr>
        <w:t>Objetivo:</w:t>
      </w:r>
      <w:r>
        <w:t xml:space="preserve"> Pasar de los números a las acciones.</w:t>
      </w:r>
    </w:p>
    <w:p>
      <w:pPr>
        <w:pStyle w:val="ListNumber"/>
        <w:keepLines w:val="1"/>
        <w:keepNext w:val="1"/>
        <w:widowControl w:val="1"/>
      </w:pPr>
      <w:r>
        <w:br/>
        <w:t>La HOJA 6 de la plantilla Excel extrae automáticamente los indicadores con puntuación ≤ 3, priorizados por Tier y puntuación.</w:t>
        <w:br/>
      </w:r>
    </w:p>
    <w:p>
      <w:pPr>
        <w:pStyle w:val="ListNumber"/>
        <w:keepLines w:val="1"/>
        <w:keepNext w:val="1"/>
        <w:widowControl w:val="1"/>
      </w:pPr>
      <w:r>
        <w:br/>
        <w:t>Para cada brecha identificada:</w:t>
        <w:br/>
      </w:r>
    </w:p>
    <w:p>
      <w:pPr>
        <w:pStyle w:val="ListNumber"/>
        <w:keepLines w:val="1"/>
        <w:keepNext w:val="1"/>
        <w:widowControl w:val="1"/>
      </w:pPr>
      <w:r>
        <w:t>Definir la acción concreta de mejora (columna I de HOJA 3)</w:t>
      </w:r>
    </w:p>
    <w:p>
      <w:pPr>
        <w:pStyle w:val="ListNumber"/>
        <w:keepLines w:val="1"/>
        <w:keepNext w:val="1"/>
        <w:widowControl w:val="1"/>
      </w:pPr>
      <w:r>
        <w:t>Asignar un responsable nominado (columna J)</w:t>
      </w:r>
    </w:p>
    <w:p>
      <w:pPr>
        <w:pStyle w:val="ListNumber"/>
        <w:keepLines w:val="1"/>
        <w:keepNext w:val="1"/>
        <w:widowControl w:val="1"/>
      </w:pPr>
      <w:r>
        <w:br/>
        <w:t>Establecer una fecha objetivo realista (columna K)</w:t>
        <w:br/>
      </w:r>
    </w:p>
    <w:p>
      <w:pPr>
        <w:pStyle w:val="ListNumber"/>
        <w:keepLines w:val="1"/>
        <w:widowControl w:val="1"/>
      </w:pPr>
      <w:r>
        <w:br/>
        <w:t>Las acciones de Tier 1 con puntuación ≤ 2 son las de mayor urgencia. Si hay más de 3 en esta categoría, se recomienda considerar apoyo externo.</w:t>
        <w:br/>
      </w:r>
    </w:p>
    <w:p>
      <w:r>
        <w:t>La HOJA 6 de la plantilla Excel extrae automáticamente los indicadores con puntuación ≤ 3, priorizados por Tier y puntuación.</w:t>
      </w:r>
    </w:p>
    <w:p>
      <w:r>
        <w:t>Para cada brecha identificada:</w:t>
      </w:r>
    </w:p>
    <w:p>
      <w:r>
        <w:t>Establecer una fecha objetivo realista (columna K)</w:t>
      </w:r>
    </w:p>
    <w:p>
      <w:r>
        <w:t>Las acciones de Tier 1 con puntuación ≤ 2 son las de mayor urgencia. Si hay más de 3 en esta categoría, se recomienda considerar apoyo externo.</w:t>
      </w:r>
    </w:p>
    <w:p>
      <w:pPr>
        <w:pStyle w:val="Heading3"/>
        <w:keepNext/>
        <w:keepLines/>
      </w:pPr>
      <w:r>
        <w:t>FASE 5 — Comunicación Ejecutiva (1 día)</w:t>
      </w:r>
    </w:p>
    <w:p>
      <w:r>
        <w:rPr>
          <w:b/>
        </w:rPr>
        <w:t>Objetivo:</w:t>
      </w:r>
      <w:r>
        <w:t xml:space="preserve"> Presentar los resultados y obtener el mandato para las mejoras.</w:t>
      </w:r>
    </w:p>
    <w:p>
      <w:pPr>
        <w:pStyle w:val="ListNumber"/>
        <w:keepLines w:val="1"/>
        <w:keepNext w:val="1"/>
        <w:widowControl w:val="1"/>
      </w:pPr>
      <w:r>
        <w:t>Usar la Plantilla PowerPoint (f_plantilla-ppt-faicp.md) para preparar la presentación.</w:t>
      </w:r>
    </w:p>
    <w:p>
      <w:pPr>
        <w:pStyle w:val="ListNumber"/>
        <w:keepLines w:val="1"/>
        <w:keepNext w:val="1"/>
        <w:widowControl w:val="1"/>
      </w:pPr>
      <w:r>
        <w:t>Personalizar con los datos reales de las fases anteriores.</w:t>
      </w:r>
    </w:p>
    <w:p>
      <w:pPr>
        <w:pStyle w:val="ListNumber"/>
        <w:keepLines w:val="1"/>
        <w:keepNext w:val="1"/>
        <w:widowControl w:val="1"/>
      </w:pPr>
      <w:r>
        <w:t>Para el Consejo de Administración: diapositivas 01, 02, 04, 05, 13, 18, 19, 21, 22, 24.</w:t>
      </w:r>
    </w:p>
    <w:p>
      <w:pPr>
        <w:pStyle w:val="ListNumber"/>
        <w:keepLines w:val="1"/>
        <w:widowControl w:val="1"/>
      </w:pPr>
      <w:r>
        <w:t>Para el Comité de Riesgos o CISO técnico: presentación completa (24 slides + apéndices).</w:t>
      </w:r>
    </w:p>
    <w:p>
      <w:pPr>
        <w:pStyle w:val="Heading2"/>
        <w:keepNext/>
        <w:keepLines/>
      </w:pPr>
      <w:r>
        <w:rPr>
          <w:color w:val="0066CC"/>
        </w:rPr>
        <w:t>Preguntas Frecuentes (FAQ)</w:t>
      </w:r>
    </w:p>
    <w:p>
      <w:pPr>
        <w:pStyle w:val="Heading3"/>
        <w:keepNext/>
        <w:keepLines/>
      </w:pPr>
      <w:r>
        <w:t>"¿Este kit reemplaza al ENS o al ISO 27001?"</w:t>
      </w:r>
    </w:p>
    <w:p>
      <w:r>
        <w:t xml:space="preserve">No. El Kit FAICP es </w:t>
      </w:r>
      <w:r>
        <w:rPr>
          <w:b/>
        </w:rPr>
        <w:t>complementario</w:t>
      </w:r>
      <w:r>
        <w:t xml:space="preserve"> a los marcos de seguridad existentes. El ENS y el ISO 27001 son marcos horizontales de ciberseguridad. El FAICP es un marco </w:t>
      </w:r>
      <w:r>
        <w:rPr>
          <w:b/>
        </w:rPr>
        <w:t>vertical</w:t>
      </w:r>
      <w:r>
        <w:t xml:space="preserve"> específico para sistemas de IA. La relación es: ENS/ISO 27001 es el suelo sobre el que se construye, FAICP es el piso específico de la IA.</w:t>
      </w:r>
    </w:p>
    <w:p>
      <w:pPr>
        <w:pStyle w:val="Heading3"/>
        <w:keepNext/>
        <w:keepLines/>
      </w:pPr>
      <w:r>
        <w:t>"¿Quién debe liderar la autoevaluación?"</w:t>
      </w:r>
    </w:p>
    <w:p>
      <w:r>
        <w:t>El CISO, con la participación del responsable de sistemas de IA (si existe como rol diferenciado), el DPO (para los indicadores relacionados con RGPD y EU AI Act) y, idealmente, un evaluador externo independiente para aumentar el criterio G (Genuino) del PRAGMATIC.</w:t>
      </w:r>
    </w:p>
    <w:p>
      <w:pPr>
        <w:pStyle w:val="Heading3"/>
        <w:keepNext/>
        <w:keepLines/>
      </w:pPr>
      <w:r>
        <w:t>"¿Con qué frecuencia debo actualizar la evaluación?"</w:t>
      </w:r>
    </w:p>
    <w:p>
      <w:pPr>
        <w:pStyle w:val="ListBullet"/>
        <w:keepLines w:val="1"/>
        <w:keepNext w:val="1"/>
        <w:widowControl w:val="1"/>
      </w:pPr>
      <w:r>
        <w:t>Indicadores Tier 1: Revisión semestral como mínimo</w:t>
      </w:r>
    </w:p>
    <w:p>
      <w:pPr>
        <w:pStyle w:val="ListBullet"/>
        <w:keepLines w:val="1"/>
        <w:keepNext w:val="1"/>
        <w:widowControl w:val="1"/>
      </w:pPr>
      <w:r>
        <w:t>Evaluación completa: Anual</w:t>
      </w:r>
    </w:p>
    <w:p>
      <w:pPr>
        <w:pStyle w:val="ListBullet"/>
        <w:keepLines w:val="1"/>
        <w:widowControl w:val="1"/>
      </w:pPr>
      <w:r>
        <w:t>Revisión extraordinaria: Ante publicación de nuevas versiones de MITRE ATLAS, OWASP LLM Top 10, o nuevas guías de AESIA/CCN; ante incidentes de IA significativos en el sector</w:t>
      </w:r>
    </w:p>
    <w:p>
      <w:pPr>
        <w:pStyle w:val="Heading3"/>
        <w:keepNext/>
        <w:keepLines/>
      </w:pPr>
      <w:r>
        <w:t>"¿Puedo compartir mi IGM-FAICP con AESIA o INCIBE?"</w:t>
      </w:r>
    </w:p>
    <w:p>
      <w:r>
        <w:t>Se anima a ello. La agregación de datos IGM-FAICP por sector y CCAA permitiría a INCIBE y AESIA identificar brechas sistémicas y dirigir mejor los recursos de apoyo. El intercambio voluntario de datos anonimizados contribuye al benchmarking nacional.</w:t>
      </w:r>
    </w:p>
    <w:p>
      <w:pPr>
        <w:pStyle w:val="Heading3"/>
        <w:keepNext/>
        <w:keepLines/>
      </w:pPr>
      <w:r>
        <w:t>"Mi puntuación IGM-FAICP es 1.5. ¿Es muy mala?"</w:t>
      </w:r>
    </w:p>
    <w:p>
      <w:r>
        <w:t>Es la puntuación de la mayoría de las organizaciones en España en este momento. El Cisco CRI 2025 sitúa el promedio español en niveles equivalentes a 1.4-1.5 en la escala del FAICP. Lo relevante no es el punto de partida sino la trayectoria. Un IGM de 1.5 con plan de mejora ejecutado es infinitamente preferible a un IGM de 3.0 documentado en papel sin implementación real.</w:t>
      </w:r>
    </w:p>
    <w:p>
      <w:pPr>
        <w:pStyle w:val="Heading3"/>
        <w:keepNext/>
        <w:keepLines/>
      </w:pPr>
      <w:r>
        <w:t>"¿Qué ocurre con los tres indicadores 'condicionales'?"</w:t>
      </w:r>
    </w:p>
    <w:p>
      <w:r>
        <w:t>IGM-ID-03, IGM-DE-04 e IGM-RS-02 son condicionales no porque sean poco importantes, sino porque el mercado de capacidades (feeds CTI para IA, capacidades SOC para ATLAS, forense de IA) no ha madurado lo suficiente para que la mayoría de organizaciones puedan implementarlos. Medir estas brechas es el primer paso para cerrarlas; no hay que desanimarse por puntuaciones bajas en ellos.</w:t>
      </w:r>
    </w:p>
    <w:p>
      <w:pPr>
        <w:pStyle w:val="Heading3"/>
        <w:keepNext/>
        <w:keepLines/>
      </w:pPr>
      <w:r>
        <w:t>"¿Cuánto cuesta implementar el kit?"</w:t>
      </w:r>
    </w:p>
    <w:p>
      <w:r>
        <w:t>El kit en sí es gratuito. El coste de implementación depende del tamaño de la organización y las brechas detectadas. Como referencia orientativa:</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Fase</w:t>
            </w:r>
          </w:p>
        </w:tc>
        <w:tc>
          <w:tcPr>
            <w:tcW w:type="dxa" w:w="3120"/>
            <w:shd w:fill="0033CC"/>
          </w:tcPr>
          <w:p>
            <w:pPr>
              <w:keepLines w:val="1"/>
              <w:keepNext w:val="1"/>
            </w:pPr>
            <w:r>
              <w:rPr>
                <w:b/>
                <w:color w:val="FFFFFF"/>
              </w:rPr>
              <w:t>Coste estimado PYME</w:t>
            </w:r>
          </w:p>
        </w:tc>
        <w:tc>
          <w:tcPr>
            <w:tcW w:type="dxa" w:w="3120"/>
            <w:shd w:fill="0033CC"/>
          </w:tcPr>
          <w:p>
            <w:pPr>
              <w:keepLines w:val="1"/>
              <w:keepNext w:val="1"/>
            </w:pPr>
            <w:r>
              <w:rPr>
                <w:b/>
                <w:color w:val="FFFFFF"/>
              </w:rPr>
              <w:t>Coste estimado Gran Empresa</w:t>
            </w:r>
          </w:p>
        </w:tc>
      </w:tr>
      <w:tr>
        <w:trPr>
          <w:cantSplit w:val="1"/>
        </w:trPr>
        <w:tc>
          <w:tcPr>
            <w:tcW w:type="dxa" w:w="3120"/>
          </w:tcPr>
          <w:p>
            <w:pPr>
              <w:keepLines w:val="1"/>
              <w:keepNext w:val="1"/>
            </w:pPr>
            <w:r>
              <w:t>Autoevaluación interna</w:t>
            </w:r>
          </w:p>
        </w:tc>
        <w:tc>
          <w:tcPr>
            <w:tcW w:type="dxa" w:w="3120"/>
          </w:tcPr>
          <w:p>
            <w:pPr>
              <w:keepLines w:val="1"/>
              <w:keepNext w:val="1"/>
            </w:pPr>
            <w:r>
              <w:t>0 - 5.000€ (tiempo interno)</w:t>
            </w:r>
          </w:p>
        </w:tc>
        <w:tc>
          <w:tcPr>
            <w:tcW w:type="dxa" w:w="3120"/>
          </w:tcPr>
          <w:p>
            <w:pPr>
              <w:keepLines w:val="1"/>
              <w:keepNext w:val="1"/>
            </w:pPr>
            <w:r>
              <w:t>10.000-30.000€</w:t>
            </w:r>
          </w:p>
        </w:tc>
      </w:tr>
      <w:tr>
        <w:trPr>
          <w:cantSplit w:val="1"/>
        </w:trPr>
        <w:tc>
          <w:tcPr>
            <w:tcW w:type="dxa" w:w="3120"/>
          </w:tcPr>
          <w:p>
            <w:pPr>
              <w:keepLines w:val="1"/>
              <w:keepNext w:val="1"/>
            </w:pPr>
            <w:r>
              <w:t>Apoyo consultor experto</w:t>
            </w:r>
          </w:p>
        </w:tc>
        <w:tc>
          <w:tcPr>
            <w:tcW w:type="dxa" w:w="3120"/>
          </w:tcPr>
          <w:p>
            <w:pPr>
              <w:keepLines w:val="1"/>
              <w:keepNext w:val="1"/>
            </w:pPr>
            <w:r>
              <w:t>5.000-15.000€</w:t>
            </w:r>
          </w:p>
        </w:tc>
        <w:tc>
          <w:tcPr>
            <w:tcW w:type="dxa" w:w="3120"/>
          </w:tcPr>
          <w:p>
            <w:pPr>
              <w:keepLines w:val="1"/>
              <w:keepNext w:val="1"/>
            </w:pPr>
            <w:r>
              <w:t>20.000-60.000€</w:t>
            </w:r>
          </w:p>
        </w:tc>
      </w:tr>
      <w:tr>
        <w:trPr>
          <w:cantSplit w:val="1"/>
        </w:trPr>
        <w:tc>
          <w:tcPr>
            <w:tcW w:type="dxa" w:w="3120"/>
          </w:tcPr>
          <w:p>
            <w:pPr>
              <w:keepLines w:val="1"/>
              <w:keepNext w:val="1"/>
            </w:pPr>
            <w:r>
              <w:t>Implementación Fase 1 (Tier 1)</w:t>
            </w:r>
          </w:p>
        </w:tc>
        <w:tc>
          <w:tcPr>
            <w:tcW w:type="dxa" w:w="3120"/>
          </w:tcPr>
          <w:p>
            <w:pPr>
              <w:keepLines w:val="1"/>
              <w:keepNext w:val="1"/>
            </w:pPr>
            <w:r>
              <w:t>10.000-50.000€</w:t>
            </w:r>
          </w:p>
        </w:tc>
        <w:tc>
          <w:tcPr>
            <w:tcW w:type="dxa" w:w="3120"/>
          </w:tcPr>
          <w:p>
            <w:pPr>
              <w:keepLines w:val="1"/>
              <w:keepNext w:val="1"/>
            </w:pPr>
            <w:r>
              <w:t>100.000-500.000€</w:t>
            </w:r>
          </w:p>
        </w:tc>
      </w:tr>
      <w:tr>
        <w:trPr>
          <w:cantSplit w:val="1"/>
        </w:trPr>
        <w:tc>
          <w:tcPr>
            <w:tcW w:type="dxa" w:w="3120"/>
          </w:tcPr>
          <w:p>
            <w:pPr>
              <w:keepLines w:val="1"/>
            </w:pPr>
            <w:r>
              <w:t>Herramientas de monitorización IA</w:t>
            </w:r>
          </w:p>
        </w:tc>
        <w:tc>
          <w:tcPr>
            <w:tcW w:type="dxa" w:w="3120"/>
          </w:tcPr>
          <w:p>
            <w:pPr>
              <w:keepLines w:val="1"/>
            </w:pPr>
            <w:r>
              <w:t>5.000-20.000€/año</w:t>
            </w:r>
          </w:p>
        </w:tc>
        <w:tc>
          <w:tcPr>
            <w:tcW w:type="dxa" w:w="3120"/>
          </w:tcPr>
          <w:p>
            <w:pPr>
              <w:keepLines w:val="1"/>
            </w:pPr>
            <w:r>
              <w:t>50.000-200.000€/año</w:t>
            </w:r>
          </w:p>
        </w:tc>
      </w:tr>
    </w:tbl>
    <w:p/>
    <w:p>
      <w:pPr>
        <w:pStyle w:val="Heading2"/>
        <w:keepNext/>
        <w:keepLines/>
      </w:pPr>
      <w:r>
        <w:rPr>
          <w:color w:val="0066CC"/>
        </w:rPr>
        <w:t>Recursos de Referencia</w:t>
      </w:r>
    </w:p>
    <w:p>
      <w:pPr>
        <w:pStyle w:val="Heading3"/>
        <w:keepNext/>
        <w:keepLines/>
      </w:pPr>
      <w:r>
        <w:t>Organismos Nacionales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Organismo</w:t>
            </w:r>
          </w:p>
        </w:tc>
        <w:tc>
          <w:tcPr>
            <w:tcW w:type="dxa" w:w="3120"/>
            <w:shd w:fill="0033CC"/>
          </w:tcPr>
          <w:p>
            <w:pPr>
              <w:keepLines w:val="1"/>
              <w:keepNext w:val="1"/>
            </w:pPr>
            <w:r>
              <w:rPr>
                <w:b/>
                <w:color w:val="FFFFFF"/>
              </w:rPr>
              <w:t>Rol</w:t>
            </w:r>
          </w:p>
        </w:tc>
        <w:tc>
          <w:tcPr>
            <w:tcW w:type="dxa" w:w="3120"/>
            <w:shd w:fill="0033CC"/>
          </w:tcPr>
          <w:p>
            <w:pPr>
              <w:keepLines w:val="1"/>
              <w:keepNext w:val="1"/>
            </w:pPr>
            <w:r>
              <w:rPr>
                <w:b/>
                <w:color w:val="FFFFFF"/>
              </w:rPr>
              <w:t>Contacto</w:t>
            </w:r>
          </w:p>
        </w:tc>
      </w:tr>
      <w:tr>
        <w:trPr>
          <w:cantSplit w:val="1"/>
        </w:trPr>
        <w:tc>
          <w:tcPr>
            <w:tcW w:type="dxa" w:w="3120"/>
          </w:tcPr>
          <w:p>
            <w:pPr>
              <w:keepLines w:val="1"/>
              <w:keepNext w:val="1"/>
            </w:pPr>
            <w:r>
              <w:t>AESIA</w:t>
            </w:r>
          </w:p>
        </w:tc>
        <w:tc>
          <w:tcPr>
            <w:tcW w:type="dxa" w:w="3120"/>
          </w:tcPr>
          <w:p>
            <w:pPr>
              <w:keepLines w:val="1"/>
              <w:keepNext w:val="1"/>
            </w:pPr>
            <w:r>
              <w:t>Autoridad de supervisión EU AI Act en España</w:t>
            </w:r>
          </w:p>
        </w:tc>
        <w:tc>
          <w:tcPr>
            <w:tcW w:type="dxa" w:w="3120"/>
          </w:tcPr>
          <w:p>
            <w:pPr>
              <w:keepLines w:val="1"/>
              <w:keepNext w:val="1"/>
            </w:pPr>
            <w:r>
              <w:t>aesia.digital.gob.es</w:t>
            </w:r>
          </w:p>
        </w:tc>
      </w:tr>
      <w:tr>
        <w:trPr>
          <w:cantSplit w:val="1"/>
        </w:trPr>
        <w:tc>
          <w:tcPr>
            <w:tcW w:type="dxa" w:w="3120"/>
          </w:tcPr>
          <w:p>
            <w:pPr>
              <w:keepLines w:val="1"/>
              <w:keepNext w:val="1"/>
            </w:pPr>
            <w:r>
              <w:t>INCIBE</w:t>
            </w:r>
          </w:p>
        </w:tc>
        <w:tc>
          <w:tcPr>
            <w:tcW w:type="dxa" w:w="3120"/>
          </w:tcPr>
          <w:p>
            <w:pPr>
              <w:keepLines w:val="1"/>
              <w:keepNext w:val="1"/>
            </w:pPr>
            <w:r>
              <w:t>Centro Nacional de Ciberseguridad (empresas y ciudadanos)</w:t>
            </w:r>
          </w:p>
        </w:tc>
        <w:tc>
          <w:tcPr>
            <w:tcW w:type="dxa" w:w="3120"/>
          </w:tcPr>
          <w:p>
            <w:pPr>
              <w:keepLines w:val="1"/>
              <w:keepNext w:val="1"/>
            </w:pPr>
            <w:r>
              <w:t>incibe.es · 017 (24h)</w:t>
            </w:r>
          </w:p>
        </w:tc>
      </w:tr>
      <w:tr>
        <w:trPr>
          <w:cantSplit w:val="1"/>
        </w:trPr>
        <w:tc>
          <w:tcPr>
            <w:tcW w:type="dxa" w:w="3120"/>
          </w:tcPr>
          <w:p>
            <w:pPr>
              <w:keepLines w:val="1"/>
              <w:keepNext w:val="1"/>
            </w:pPr>
            <w:r>
              <w:t>CCN-CERT</w:t>
            </w:r>
          </w:p>
        </w:tc>
        <w:tc>
          <w:tcPr>
            <w:tcW w:type="dxa" w:w="3120"/>
          </w:tcPr>
          <w:p>
            <w:pPr>
              <w:keepLines w:val="1"/>
              <w:keepNext w:val="1"/>
            </w:pPr>
            <w:r>
              <w:t>CERT Nacional (AAPP y operadores críticos)</w:t>
            </w:r>
          </w:p>
        </w:tc>
        <w:tc>
          <w:tcPr>
            <w:tcW w:type="dxa" w:w="3120"/>
          </w:tcPr>
          <w:p>
            <w:pPr>
              <w:keepLines w:val="1"/>
              <w:keepNext w:val="1"/>
            </w:pPr>
            <w:r>
              <w:t>ccn-cert.cni.es</w:t>
            </w:r>
          </w:p>
        </w:tc>
      </w:tr>
      <w:tr>
        <w:trPr>
          <w:cantSplit w:val="1"/>
        </w:trPr>
        <w:tc>
          <w:tcPr>
            <w:tcW w:type="dxa" w:w="3120"/>
          </w:tcPr>
          <w:p>
            <w:pPr>
              <w:keepLines w:val="1"/>
            </w:pPr>
            <w:r>
              <w:t>AEPD</w:t>
            </w:r>
          </w:p>
        </w:tc>
        <w:tc>
          <w:tcPr>
            <w:tcW w:type="dxa" w:w="3120"/>
          </w:tcPr>
          <w:p>
            <w:pPr>
              <w:keepLines w:val="1"/>
            </w:pPr>
            <w:r>
              <w:t>Agencia Española de Protección de Datos</w:t>
            </w:r>
          </w:p>
        </w:tc>
        <w:tc>
          <w:tcPr>
            <w:tcW w:type="dxa" w:w="3120"/>
          </w:tcPr>
          <w:p>
            <w:pPr>
              <w:keepLines w:val="1"/>
            </w:pPr>
            <w:r>
              <w:t>aepd.es</w:t>
            </w:r>
          </w:p>
        </w:tc>
      </w:tr>
    </w:tbl>
    <w:p/>
    <w:p>
      <w:pPr>
        <w:pStyle w:val="Heading3"/>
        <w:keepNext/>
        <w:keepLines/>
      </w:pPr>
      <w:r>
        <w:t>Documentos Fundacionales del Marco</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Documento</w:t>
            </w:r>
          </w:p>
        </w:tc>
        <w:tc>
          <w:tcPr>
            <w:tcW w:type="dxa" w:w="4680"/>
            <w:shd w:fill="0033CC"/>
          </w:tcPr>
          <w:p>
            <w:pPr>
              <w:keepLines w:val="1"/>
              <w:keepNext w:val="1"/>
            </w:pPr>
            <w:r>
              <w:rPr>
                <w:b/>
                <w:color w:val="FFFFFF"/>
              </w:rPr>
              <w:t>URL</w:t>
            </w:r>
          </w:p>
        </w:tc>
      </w:tr>
      <w:tr>
        <w:trPr>
          <w:cantSplit w:val="1"/>
        </w:trPr>
        <w:tc>
          <w:tcPr>
            <w:tcW w:type="dxa" w:w="4680"/>
          </w:tcPr>
          <w:p>
            <w:pPr>
              <w:keepLines w:val="1"/>
              <w:keepNext w:val="1"/>
            </w:pPr>
            <w:r>
              <w:t>NIST IR 8596 (borrador dic. 2025)</w:t>
            </w:r>
          </w:p>
        </w:tc>
        <w:tc>
          <w:tcPr>
            <w:tcW w:type="dxa" w:w="4680"/>
          </w:tcPr>
          <w:p>
            <w:pPr>
              <w:keepLines w:val="1"/>
              <w:keepNext w:val="1"/>
            </w:pPr>
            <w:r>
              <w:t>nvlpubs.nist.gov</w:t>
            </w:r>
          </w:p>
        </w:tc>
      </w:tr>
      <w:tr>
        <w:trPr>
          <w:cantSplit w:val="1"/>
        </w:trPr>
        <w:tc>
          <w:tcPr>
            <w:tcW w:type="dxa" w:w="4680"/>
          </w:tcPr>
          <w:p>
            <w:pPr>
              <w:keepLines w:val="1"/>
              <w:keepNext w:val="1"/>
            </w:pPr>
            <w:r>
              <w:t>NIST AI RMF 1.0</w:t>
            </w:r>
          </w:p>
        </w:tc>
        <w:tc>
          <w:tcPr>
            <w:tcW w:type="dxa" w:w="4680"/>
          </w:tcPr>
          <w:p>
            <w:pPr>
              <w:keepLines w:val="1"/>
              <w:keepNext w:val="1"/>
            </w:pPr>
            <w:r>
              <w:t>airc.nist.gov</w:t>
            </w:r>
          </w:p>
        </w:tc>
      </w:tr>
      <w:tr>
        <w:trPr>
          <w:cantSplit w:val="1"/>
        </w:trPr>
        <w:tc>
          <w:tcPr>
            <w:tcW w:type="dxa" w:w="4680"/>
          </w:tcPr>
          <w:p>
            <w:pPr>
              <w:keepLines w:val="1"/>
              <w:keepNext w:val="1"/>
            </w:pPr>
            <w:r>
              <w:t>EU AI Act (texto consolidado)</w:t>
            </w:r>
          </w:p>
        </w:tc>
        <w:tc>
          <w:tcPr>
            <w:tcW w:type="dxa" w:w="4680"/>
          </w:tcPr>
          <w:p>
            <w:pPr>
              <w:keepLines w:val="1"/>
              <w:keepNext w:val="1"/>
            </w:pPr>
            <w:r>
              <w:t>eur-lex.europa.eu</w:t>
            </w:r>
          </w:p>
        </w:tc>
      </w:tr>
      <w:tr>
        <w:trPr>
          <w:cantSplit w:val="1"/>
        </w:trPr>
        <w:tc>
          <w:tcPr>
            <w:tcW w:type="dxa" w:w="4680"/>
          </w:tcPr>
          <w:p>
            <w:pPr>
              <w:keepLines w:val="1"/>
              <w:keepNext w:val="1"/>
            </w:pPr>
            <w:r>
              <w:t>OWASP LLM Top 10 2025</w:t>
            </w:r>
          </w:p>
        </w:tc>
        <w:tc>
          <w:tcPr>
            <w:tcW w:type="dxa" w:w="4680"/>
          </w:tcPr>
          <w:p>
            <w:pPr>
              <w:keepLines w:val="1"/>
              <w:keepNext w:val="1"/>
            </w:pPr>
            <w:r>
              <w:t>owasp.org/www-project-top-10-for-large-language-model-applications</w:t>
            </w:r>
          </w:p>
        </w:tc>
      </w:tr>
      <w:tr>
        <w:trPr>
          <w:cantSplit w:val="1"/>
        </w:trPr>
        <w:tc>
          <w:tcPr>
            <w:tcW w:type="dxa" w:w="4680"/>
          </w:tcPr>
          <w:p>
            <w:pPr>
              <w:keepLines w:val="1"/>
              <w:keepNext w:val="1"/>
            </w:pPr>
            <w:r>
              <w:t>MITRE ATLAS v5.5</w:t>
            </w:r>
          </w:p>
        </w:tc>
        <w:tc>
          <w:tcPr>
            <w:tcW w:type="dxa" w:w="4680"/>
          </w:tcPr>
          <w:p>
            <w:pPr>
              <w:keepLines w:val="1"/>
              <w:keepNext w:val="1"/>
            </w:pPr>
            <w:r>
              <w:t>atlas.mitre.org</w:t>
            </w:r>
          </w:p>
        </w:tc>
      </w:tr>
      <w:tr>
        <w:trPr>
          <w:cantSplit w:val="1"/>
        </w:trPr>
        <w:tc>
          <w:tcPr>
            <w:tcW w:type="dxa" w:w="4680"/>
          </w:tcPr>
          <w:p>
            <w:pPr>
              <w:keepLines w:val="1"/>
              <w:keepNext w:val="1"/>
            </w:pPr>
            <w:r>
              <w:t>ENISA Threat Landscape 2025</w:t>
            </w:r>
          </w:p>
        </w:tc>
        <w:tc>
          <w:tcPr>
            <w:tcW w:type="dxa" w:w="4680"/>
          </w:tcPr>
          <w:p>
            <w:pPr>
              <w:keepLines w:val="1"/>
              <w:keepNext w:val="1"/>
            </w:pPr>
            <w:r>
              <w:t>enisa.europa.eu</w:t>
            </w:r>
          </w:p>
        </w:tc>
      </w:tr>
      <w:tr>
        <w:trPr>
          <w:cantSplit w:val="1"/>
        </w:trPr>
        <w:tc>
          <w:tcPr>
            <w:tcW w:type="dxa" w:w="4680"/>
          </w:tcPr>
          <w:p>
            <w:pPr>
              <w:keepLines w:val="1"/>
            </w:pPr>
            <w:r>
              <w:t>ENS RD 311/2022</w:t>
            </w:r>
          </w:p>
        </w:tc>
        <w:tc>
          <w:tcPr>
            <w:tcW w:type="dxa" w:w="4680"/>
          </w:tcPr>
          <w:p>
            <w:pPr>
              <w:keepLines w:val="1"/>
            </w:pPr>
            <w:r>
              <w:t>ccn.cni.es</w:t>
            </w:r>
          </w:p>
        </w:tc>
      </w:tr>
    </w:tbl>
    <w:p/>
    <w:p>
      <w:pPr>
        <w:pStyle w:val="Heading2"/>
        <w:keepNext/>
        <w:keepLines/>
      </w:pPr>
      <w:r>
        <w:rPr>
          <w:color w:val="0066CC"/>
        </w:rPr>
        <w:t>Créditos y Descargos</w:t>
      </w:r>
    </w:p>
    <w:p>
      <w:pPr>
        <w:pStyle w:val="Heading3"/>
        <w:keepNext/>
        <w:keepLines/>
      </w:pPr>
      <w:r>
        <w:t>Marco de Referencia Primario</w:t>
      </w:r>
    </w:p>
    <w:p>
      <w:r>
        <w:t>Este kit está basado en documentos de libre acceso de NIST, OWASP, MITRE, ENISA, la Comisión Europea, el Gobierno de España y el Foro Económico Mundial. Todos ellos son citados con su referencia correspondiente en el Informe Principal.</w:t>
      </w:r>
    </w:p>
    <w:p>
      <w:pPr>
        <w:pStyle w:val="Heading3"/>
        <w:keepNext/>
        <w:keepLines/>
      </w:pPr>
      <w:r>
        <w:t>Descargos de Responsabilidad</w:t>
      </w:r>
    </w:p>
    <w:p>
      <w:r>
        <w:t>Este kit es un instrumento de apoyo a la autoevaluación y la planificación. No constituye asesoramiento jurídico. Para la interpretación de obligaciones legales derivadas del EU AI Act, NIS2, ENS o cualquier otro marco normativo, se recomienda consultar con asesoría jurídica especializada.</w:t>
      </w:r>
    </w:p>
    <w:p>
      <w:r>
        <w:t>Los datos numéricos citados en el kit (porcentajes de madurez, estadísticas de incidentes, cifras de inversión) provienen de fuentes públicas verificadas (Cisco CRI 2025, INCIBE, ENISA, WEF). No han sido inventados ni simulados.</w:t>
      </w:r>
    </w:p>
    <w:p>
      <w:r>
        <w:t>El Kit FAICP no está respaldado oficialmente por NIST, OWASP, MITRE, ENISA, AESIA ni ningún otro organismo. Es una herramienta de investigación independiente que integra y aplica marcos públicos al contexto español.</w:t>
      </w:r>
    </w:p>
    <w:p>
      <w:pPr>
        <w:pStyle w:val="Heading3"/>
        <w:keepNext/>
        <w:keepLines/>
      </w:pPr>
      <w:r>
        <w:t>Versionado y Actualizaciones</w:t>
      </w:r>
    </w:p>
    <w:p>
      <w:r>
        <w:t>Dado el ritmo de evolución del panorama de amenazas IA y el marco regulatorio, se recomienda verificar si existe una versión más reciente del kit antes de cada ciclo de evaluación. Los eventos que activan una actualización de versión son:</w:t>
      </w:r>
    </w:p>
    <w:p>
      <w:pPr>
        <w:pStyle w:val="ListBullet"/>
        <w:keepLines w:val="1"/>
        <w:keepNext w:val="1"/>
        <w:widowControl w:val="1"/>
      </w:pPr>
      <w:r>
        <w:t>Versión final del NIST IR 8596 (esperada 2026)</w:t>
      </w:r>
    </w:p>
    <w:p>
      <w:pPr>
        <w:pStyle w:val="ListBullet"/>
        <w:keepLines w:val="1"/>
        <w:keepNext w:val="1"/>
        <w:widowControl w:val="1"/>
      </w:pPr>
      <w:r>
        <w:t>Actualización del OWASP LLM Top 10 (v2026, prevista)</w:t>
      </w:r>
    </w:p>
    <w:p>
      <w:pPr>
        <w:pStyle w:val="ListBullet"/>
        <w:keepLines w:val="1"/>
        <w:keepNext w:val="1"/>
        <w:widowControl w:val="1"/>
      </w:pPr>
      <w:r>
        <w:t>Nuevas versiones de MITRE ATLAS</w:t>
      </w:r>
    </w:p>
    <w:p>
      <w:pPr>
        <w:pStyle w:val="ListBullet"/>
        <w:keepLines w:val="1"/>
        <w:keepNext w:val="1"/>
        <w:widowControl w:val="1"/>
      </w:pPr>
      <w:r>
        <w:t>Nuevas guías de AESIA o CCN sobre sistemas de IA</w:t>
      </w:r>
    </w:p>
    <w:p>
      <w:pPr>
        <w:pStyle w:val="ListBullet"/>
        <w:keepLines w:val="1"/>
        <w:widowControl w:val="1"/>
      </w:pPr>
      <w:r>
        <w:t>Transposición completa de NIS2 en España</w:t>
      </w:r>
    </w:p>
    <w:p>
      <w:pPr>
        <w:pStyle w:val="Heading2"/>
        <w:keepNext/>
        <w:keepLines/>
      </w:pPr>
      <w:r>
        <w:rPr>
          <w:color w:val="0066CC"/>
        </w:rPr>
        <w:t>Índice Completo del Kit</w:t>
      </w:r>
    </w:p>
    <w:p>
      <w:pPr>
        <w:pStyle w:val="NoSpacing"/>
        <w:keepLines/>
        <w:shd w:fill="F5F5F5"/>
      </w:pPr>
      <w:r>
        <w:rPr>
          <w:rFonts w:ascii="Courier New" w:hAnsi="Courier New"/>
          <w:sz w:val="18"/>
        </w:rPr>
        <w:t>KIT-FAICP-2025-2026/</w:t>
        <w:br/>
        <w:t>│</w:t>
        <w:br/>
        <w:t>├── README.md                          ← Este fichero — Guía de uso</w:t>
        <w:br/>
        <w:t>├── 00_INFORME-FAICP-2025-2026.md     ← Informe principal (estado del arte)</w:t>
        <w:br/>
        <w:t>├── a_marco-gqm-pragmatic.md          ← (a) Marco GQM + PRAGMATIC</w:t>
        <w:br/>
        <w:t>├── b_matriz-pragmatic-faicp.md       ← (b) Matriz de evaluación PRAGMATIC</w:t>
        <w:br/>
        <w:t>├── c_narrativa-faicp.md              ← (c) Narrativa explicativa</w:t>
        <w:br/>
        <w:t>├── d_mapeo-normativo-faicp.md        ← (d) Mapeo normativo detallado</w:t>
        <w:br/>
        <w:t>├── e_plantilla-igm-roi-faicp.md      ← (e) Plantilla Excel IGM + ROI</w:t>
        <w:br/>
        <w:t>└── f_plantilla-ppt-faicp.md         ← (f) Plantilla PowerPoint ejecutivo</w:t>
        <w:br/>
      </w:r>
    </w:p>
    <w:p>
      <w:r>
        <w:rPr>
          <w:b/>
        </w:rPr>
        <w:t>Total del kit:</w:t>
      </w:r>
      <w:r>
        <w:t xml:space="preserve"> ~120.000 palabras de contenido técnico especializado, organizado en 7 documentos complementarios.</w:t>
      </w:r>
    </w:p>
    <w:p>
      <w:r>
        <w:rPr>
          <w:i/>
        </w:rPr>
        <w:t>"La ciberseguridad de la inteligencia artificial no es un problema de tecnología. Es un problema de gobernanza que la tecnología hace urgente. Este kit es una invitación a tomárselo en serio antes de que alguien más lo haga por nosotros."</w:t>
      </w:r>
    </w:p>
    <w:p>
      <w:r>
        <w:rPr>
          <w:i/>
        </w:rPr>
        <w:t>Kit FAICP 2025-2026 — Versión 1.0 — Abril 2026</w:t>
      </w:r>
      <w:r/>
      <w:r>
        <w:br/>
      </w:r>
      <w:r>
        <w:rPr>
          <w:i/>
        </w:rPr>
        <w:t>Distribución libre con atribución — CC BY 4.0</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