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Guía Metodológica Detallada – Encuesta VAST Nacional (España)</w:t>
      </w:r>
    </w:p>
    <w:p>
      <w:r>
        <w:t>Versión 1.0 – Abril 2026</w:t>
      </w:r>
    </w:p>
    <w:p>
      <w:pPr>
        <w:pStyle w:val="Heading2"/>
        <w:keepNext/>
        <w:keepLines/>
      </w:pPr>
      <w:r>
        <w:rPr>
          <w:color w:val="0066CC"/>
        </w:rPr>
        <w:t>1. Objetivo de la encuesta</w:t>
      </w:r>
    </w:p>
    <w:p>
      <w:r>
        <w:t>La encuesta VAST Nacional tiene como objetivo:</w:t>
      </w:r>
    </w:p>
    <w:p>
      <w:pPr>
        <w:pStyle w:val="ListBullet"/>
        <w:keepLines w:val="1"/>
        <w:keepNext w:val="1"/>
        <w:widowControl w:val="1"/>
      </w:pPr>
      <w:r>
        <w:t>Obtener una radiografía cuantitativa y cualitativa del grado de madurez en modelado de amenazas y métricas de ciberseguridad en organizaciones españolas.</w:t>
      </w:r>
    </w:p>
    <w:p>
      <w:pPr>
        <w:pStyle w:val="ListBullet"/>
        <w:keepLines w:val="1"/>
        <w:keepNext w:val="1"/>
        <w:widowControl w:val="1"/>
      </w:pPr>
      <w:r>
        <w:t>Identificar brechas y áreas prioritarias de mejora en:</w:t>
      </w:r>
    </w:p>
    <w:p>
      <w:pPr>
        <w:pStyle w:val="ListBullet"/>
        <w:keepLines w:val="1"/>
        <w:keepNext w:val="1"/>
        <w:widowControl w:val="1"/>
      </w:pPr>
      <w:r>
        <w:t>Gobernanza y cumplimiento normativo.</w:t>
      </w:r>
    </w:p>
    <w:p>
      <w:pPr>
        <w:pStyle w:val="ListBullet"/>
        <w:keepLines w:val="1"/>
        <w:keepNext w:val="1"/>
        <w:widowControl w:val="1"/>
      </w:pPr>
      <w:r>
        <w:t>Inventario de activos y superficie de ataque.</w:t>
      </w:r>
    </w:p>
    <w:p>
      <w:pPr>
        <w:pStyle w:val="ListBullet"/>
        <w:keepLines w:val="1"/>
        <w:keepNext w:val="1"/>
        <w:widowControl w:val="1"/>
      </w:pPr>
      <w:r>
        <w:t>Modelado de amenazas (VAST, STRIDE, PASTA, etc.).</w:t>
      </w:r>
    </w:p>
    <w:p>
      <w:pPr>
        <w:pStyle w:val="ListBullet"/>
        <w:keepLines w:val="1"/>
        <w:keepNext w:val="1"/>
        <w:widowControl w:val="1"/>
      </w:pPr>
      <w:r>
        <w:t>Métricas operativas, de riesgo y de negocio.</w:t>
      </w:r>
    </w:p>
    <w:p>
      <w:pPr>
        <w:pStyle w:val="ListBullet"/>
        <w:keepLines w:val="1"/>
        <w:keepNext w:val="1"/>
        <w:widowControl w:val="1"/>
      </w:pPr>
      <w:r>
        <w:t>Gestión de vulnerabilidades y terceros.</w:t>
      </w:r>
    </w:p>
    <w:p>
      <w:pPr>
        <w:pStyle w:val="ListBullet"/>
        <w:keepLines w:val="1"/>
        <w:keepNext w:val="1"/>
        <w:widowControl w:val="1"/>
      </w:pPr>
      <w:r>
        <w:t>Respuesta, continuidad y resiliencia.</w:t>
      </w:r>
    </w:p>
    <w:p>
      <w:pPr>
        <w:pStyle w:val="ListBullet"/>
        <w:keepLines w:val="1"/>
        <w:keepNext w:val="1"/>
        <w:widowControl w:val="1"/>
      </w:pPr>
      <w:r>
        <w:t>Talento, cultura y prioridades de inversión.</w:t>
      </w:r>
    </w:p>
    <w:p>
      <w:pPr>
        <w:pStyle w:val="ListBullet"/>
        <w:keepLines w:val="1"/>
        <w:widowControl w:val="1"/>
      </w:pPr>
      <w:r>
        <w:t>Generar un Índice Global de Madurez (IGM) comparable entre organizaciones y sectores, y una base para análisis de ROI de las medidas de ciberseguridad.</w:t>
      </w:r>
    </w:p>
    <w:p>
      <w:pPr>
        <w:pStyle w:val="Heading2"/>
        <w:keepNext/>
        <w:keepLines/>
      </w:pPr>
      <w:r>
        <w:rPr>
          <w:color w:val="0066CC"/>
        </w:rPr>
        <w:t>2. Población objetivo y criterios de segmentación</w:t>
      </w:r>
    </w:p>
    <w:p>
      <w:pPr>
        <w:pStyle w:val="Heading3"/>
        <w:keepNext/>
        <w:keepLines/>
      </w:pPr>
      <w:r>
        <w:t>2.1. Población objetivo</w:t>
      </w:r>
    </w:p>
    <w:p>
      <w:pPr>
        <w:pStyle w:val="ListBullet"/>
        <w:keepLines w:val="1"/>
        <w:keepNext w:val="1"/>
        <w:widowControl w:val="1"/>
      </w:pPr>
      <w:r>
        <w:t>Operadores de servicios esenciales definidos por la normativa NIS2 y su transposición en España.</w:t>
      </w:r>
    </w:p>
    <w:p>
      <w:pPr>
        <w:pStyle w:val="ListBullet"/>
        <w:keepLines w:val="1"/>
        <w:keepNext w:val="1"/>
        <w:widowControl w:val="1"/>
      </w:pPr>
      <w:r>
        <w:t>Operadores de infraestructuras críticas.</w:t>
      </w:r>
    </w:p>
    <w:p>
      <w:pPr>
        <w:pStyle w:val="ListBullet"/>
        <w:keepLines w:val="1"/>
        <w:keepNext w:val="1"/>
        <w:widowControl w:val="1"/>
      </w:pPr>
      <w:r>
        <w:t>Entidades financieras sometidas a DORA y a supervisores nacionales.</w:t>
      </w:r>
    </w:p>
    <w:p>
      <w:pPr>
        <w:pStyle w:val="ListBullet"/>
        <w:keepLines w:val="1"/>
        <w:keepNext w:val="1"/>
        <w:widowControl w:val="1"/>
      </w:pPr>
      <w:r>
        <w:t>Organismos públicos (estatal, autonómico y local) con competencias relevantes.</w:t>
      </w:r>
    </w:p>
    <w:p>
      <w:pPr>
        <w:pStyle w:val="ListBullet"/>
        <w:keepLines w:val="1"/>
        <w:widowControl w:val="1"/>
      </w:pPr>
      <w:r>
        <w:t>Grandes empresas y organizaciones de sectores estratégicos (telco, industria, educación, etc.).</w:t>
      </w:r>
    </w:p>
    <w:p>
      <w:pPr>
        <w:pStyle w:val="Heading3"/>
        <w:keepNext/>
        <w:keepLines/>
      </w:pPr>
      <w:r>
        <w:t>2.2. Segmentación</w:t>
      </w:r>
    </w:p>
    <w:p>
      <w:r>
        <w:t>Las respuestas se agruparán según:</w:t>
      </w:r>
    </w:p>
    <w:p>
      <w:pPr>
        <w:pStyle w:val="ListBullet"/>
        <w:keepLines w:val="1"/>
        <w:keepNext w:val="1"/>
        <w:widowControl w:val="1"/>
      </w:pPr>
      <w:r>
        <w:t>Sector (energía, sanidad, transporte, etc.).</w:t>
      </w:r>
    </w:p>
    <w:p>
      <w:pPr>
        <w:pStyle w:val="ListBullet"/>
        <w:keepLines w:val="1"/>
        <w:keepNext w:val="1"/>
        <w:widowControl w:val="1"/>
      </w:pPr>
      <w:r>
        <w:t>Tipo de organización (pública / privada, regulada / no regulada).</w:t>
      </w:r>
    </w:p>
    <w:p>
      <w:pPr>
        <w:pStyle w:val="ListBullet"/>
        <w:keepLines w:val="1"/>
        <w:keepNext w:val="1"/>
        <w:widowControl w:val="1"/>
      </w:pPr>
      <w:r>
        <w:t>Tamaño (micro, pequeña, mediana, grande, muy grande).</w:t>
      </w:r>
    </w:p>
    <w:p>
      <w:pPr>
        <w:pStyle w:val="ListBullet"/>
        <w:keepLines w:val="1"/>
        <w:widowControl w:val="1"/>
      </w:pPr>
      <w:r>
        <w:t>Rol de la persona que responde (CISO, CIO, etc.).</w:t>
      </w:r>
    </w:p>
    <w:p>
      <w:r>
        <w:t>Esta segmentación permitirá comparar perfiles de madurez y prioridades entre grupos.</w:t>
      </w:r>
    </w:p>
    <w:p>
      <w:pPr>
        <w:pStyle w:val="Heading2"/>
        <w:keepNext/>
        <w:keepLines/>
      </w:pPr>
      <w:r>
        <w:rPr>
          <w:color w:val="0066CC"/>
        </w:rPr>
        <w:t>3. Diseño del cuestionario</w:t>
      </w:r>
    </w:p>
    <w:p>
      <w:pPr>
        <w:pStyle w:val="Heading3"/>
        <w:keepNext/>
        <w:keepLines/>
      </w:pPr>
      <w:r>
        <w:t>3.1. Estructura general</w:t>
      </w:r>
    </w:p>
    <w:p>
      <w:r>
        <w:t>El cuestionario se estructura en 10 bloques:</w:t>
      </w:r>
    </w:p>
    <w:p>
      <w:pPr>
        <w:pStyle w:val="ListNumber"/>
        <w:keepLines w:val="1"/>
        <w:keepNext w:val="1"/>
        <w:widowControl w:val="1"/>
      </w:pPr>
      <w:r>
        <w:t>Información general.</w:t>
      </w:r>
    </w:p>
    <w:p>
      <w:pPr>
        <w:pStyle w:val="ListNumber"/>
        <w:keepLines w:val="1"/>
        <w:keepNext w:val="1"/>
        <w:widowControl w:val="1"/>
      </w:pPr>
      <w:r>
        <w:t>Gobernanza y estrategia.</w:t>
      </w:r>
    </w:p>
    <w:p>
      <w:pPr>
        <w:pStyle w:val="ListNumber"/>
        <w:keepLines w:val="1"/>
        <w:keepNext w:val="1"/>
        <w:widowControl w:val="1"/>
      </w:pPr>
      <w:r>
        <w:t>Inventario de activos y superficie de ataque.</w:t>
      </w:r>
    </w:p>
    <w:p>
      <w:pPr>
        <w:pStyle w:val="ListNumber"/>
        <w:keepLines w:val="1"/>
        <w:keepNext w:val="1"/>
        <w:widowControl w:val="1"/>
      </w:pPr>
      <w:r>
        <w:t>Modelado de amenazas.</w:t>
      </w:r>
    </w:p>
    <w:p>
      <w:pPr>
        <w:pStyle w:val="ListNumber"/>
        <w:keepLines w:val="1"/>
        <w:keepNext w:val="1"/>
        <w:widowControl w:val="1"/>
      </w:pPr>
      <w:r>
        <w:t>Indicadores y métricas.</w:t>
      </w:r>
    </w:p>
    <w:p>
      <w:pPr>
        <w:pStyle w:val="ListNumber"/>
        <w:keepLines w:val="1"/>
        <w:keepNext w:val="1"/>
        <w:widowControl w:val="1"/>
      </w:pPr>
      <w:r>
        <w:t>Vulnerabilidades, exposición y terceros.</w:t>
      </w:r>
    </w:p>
    <w:p>
      <w:pPr>
        <w:pStyle w:val="ListNumber"/>
        <w:keepLines w:val="1"/>
        <w:keepNext w:val="1"/>
        <w:widowControl w:val="1"/>
      </w:pPr>
      <w:r>
        <w:t>Respuesta, continuidad y resiliencia.</w:t>
      </w:r>
    </w:p>
    <w:p>
      <w:pPr>
        <w:pStyle w:val="ListNumber"/>
        <w:keepLines w:val="1"/>
        <w:keepNext w:val="1"/>
        <w:widowControl w:val="1"/>
      </w:pPr>
      <w:r>
        <w:t>Talento, cultura y formación.</w:t>
      </w:r>
    </w:p>
    <w:p>
      <w:pPr>
        <w:pStyle w:val="ListNumber"/>
        <w:keepLines w:val="1"/>
        <w:keepNext w:val="1"/>
        <w:widowControl w:val="1"/>
      </w:pPr>
      <w:r>
        <w:t>Visión de futuro y prioridades.</w:t>
      </w:r>
    </w:p>
    <w:p>
      <w:pPr>
        <w:pStyle w:val="ListNumber"/>
        <w:keepLines w:val="1"/>
        <w:widowControl w:val="1"/>
      </w:pPr>
      <w:r>
        <w:t>Comentarios finales.</w:t>
      </w:r>
    </w:p>
    <w:p>
      <w:pPr>
        <w:pStyle w:val="Heading3"/>
        <w:keepNext/>
        <w:keepLines/>
      </w:pPr>
      <w:r>
        <w:t>3.2. Tipos de pregunta</w:t>
      </w:r>
    </w:p>
    <w:p>
      <w:pPr>
        <w:pStyle w:val="ListBullet"/>
        <w:keepLines w:val="1"/>
        <w:keepNext w:val="1"/>
        <w:widowControl w:val="1"/>
      </w:pPr>
      <w:r>
        <w:t>Preguntas cerradas de opción única (p. ej., nivel de cumplimiento).</w:t>
      </w:r>
    </w:p>
    <w:p>
      <w:pPr>
        <w:pStyle w:val="ListBullet"/>
        <w:keepLines w:val="1"/>
        <w:keepNext w:val="1"/>
        <w:widowControl w:val="1"/>
      </w:pPr>
      <w:r>
        <w:t>Preguntas cerradas de opción múltiple (p. ej., marcos de referencia utilizados).</w:t>
      </w:r>
    </w:p>
    <w:p>
      <w:pPr>
        <w:pStyle w:val="ListBullet"/>
        <w:keepLines w:val="1"/>
        <w:keepNext w:val="1"/>
        <w:widowControl w:val="1"/>
      </w:pPr>
      <w:r>
        <w:t>Preguntas de escala Likert (1–5) para medir percepciones y grado de madurez.</w:t>
      </w:r>
    </w:p>
    <w:p>
      <w:pPr>
        <w:pStyle w:val="ListBullet"/>
        <w:keepLines w:val="1"/>
        <w:widowControl w:val="1"/>
      </w:pPr>
      <w:r>
        <w:t>Preguntas abiertas para comentarios cualitativos.</w:t>
      </w:r>
    </w:p>
    <w:p>
      <w:r>
        <w:t>Las respuestas cerradas facilitan la construcción de indicadores cuantitativos; las abiertas aportan contexto y matices.</w:t>
      </w:r>
    </w:p>
    <w:p>
      <w:pPr>
        <w:pStyle w:val="Heading2"/>
        <w:keepNext/>
        <w:keepLines/>
      </w:pPr>
      <w:r>
        <w:rPr>
          <w:color w:val="0066CC"/>
        </w:rPr>
        <w:t>4. Construcción del Índice Global de Madurez (IGM)</w:t>
      </w:r>
    </w:p>
    <w:p>
      <w:pPr>
        <w:pStyle w:val="Heading3"/>
        <w:keepNext/>
        <w:keepLines/>
      </w:pPr>
      <w:r>
        <w:t>4.1. Enfoque general</w:t>
      </w:r>
    </w:p>
    <w:p>
      <w:r>
        <w:t>El IGM mide la madurez de la organización en una escala, por ejemplo, de 0 a 100 puntos, agregando puntuaciones parciales de los bloques clave:</w:t>
      </w:r>
    </w:p>
    <w:p>
      <w:pPr>
        <w:pStyle w:val="ListBullet"/>
        <w:keepLines w:val="1"/>
        <w:keepNext w:val="1"/>
        <w:widowControl w:val="1"/>
      </w:pPr>
      <w:r>
        <w:t>Gobernanza y cumplimiento (GOV).</w:t>
      </w:r>
    </w:p>
    <w:p>
      <w:pPr>
        <w:pStyle w:val="ListBullet"/>
        <w:keepLines w:val="1"/>
        <w:keepNext w:val="1"/>
        <w:widowControl w:val="1"/>
      </w:pPr>
      <w:r>
        <w:t>Inventario y superficie de ataque (INV).</w:t>
      </w:r>
    </w:p>
    <w:p>
      <w:pPr>
        <w:pStyle w:val="ListBullet"/>
        <w:keepLines w:val="1"/>
        <w:keepNext w:val="1"/>
        <w:widowControl w:val="1"/>
      </w:pPr>
      <w:r>
        <w:t>Modelado de amenazas (THR).</w:t>
      </w:r>
    </w:p>
    <w:p>
      <w:pPr>
        <w:pStyle w:val="ListBullet"/>
        <w:keepLines w:val="1"/>
        <w:keepNext w:val="1"/>
        <w:widowControl w:val="1"/>
      </w:pPr>
      <w:r>
        <w:t>Métricas y riesgo (MET).</w:t>
      </w:r>
    </w:p>
    <w:p>
      <w:pPr>
        <w:pStyle w:val="ListBullet"/>
        <w:keepLines w:val="1"/>
        <w:keepNext w:val="1"/>
        <w:widowControl w:val="1"/>
      </w:pPr>
      <w:r>
        <w:t>Vulnerabilidades y terceros (VUL).</w:t>
      </w:r>
    </w:p>
    <w:p>
      <w:pPr>
        <w:pStyle w:val="ListBullet"/>
        <w:keepLines w:val="1"/>
        <w:keepNext w:val="1"/>
        <w:widowControl w:val="1"/>
      </w:pPr>
      <w:r>
        <w:t>Respuesta y continuidad (RES).</w:t>
      </w:r>
    </w:p>
    <w:p>
      <w:pPr>
        <w:pStyle w:val="ListBullet"/>
        <w:keepLines w:val="1"/>
        <w:widowControl w:val="1"/>
      </w:pPr>
      <w:r>
        <w:t>Talento y cultura (TAL).</w:t>
      </w:r>
    </w:p>
    <w:p>
      <w:r>
        <w:t>IGM = w_GOV·GOV + w_INV·INV + w_THR·THR + w_MET·MET + w_VUL·VUL + w_RES·RES + w_TAL·TAL</w:t>
      </w:r>
    </w:p>
    <w:p>
      <w:r>
        <w:t>Con pesos w_x que se podrán ajustar por consenso de expertos (por defecto, peso uniforme o ligeramente superior para THR, MET y RES).</w:t>
      </w:r>
    </w:p>
    <w:p>
      <w:pPr>
        <w:pStyle w:val="Heading3"/>
        <w:keepNext/>
        <w:keepLines/>
      </w:pPr>
      <w:r>
        <w:t>4.2. Ejemplo de ponderación inicial</w:t>
      </w:r>
    </w:p>
    <w:p>
      <w:pPr>
        <w:pStyle w:val="ListBullet"/>
        <w:keepLines w:val="1"/>
        <w:keepNext w:val="1"/>
        <w:widowControl w:val="1"/>
      </w:pPr>
      <w:r>
        <w:t>GOV: 15 %</w:t>
      </w:r>
    </w:p>
    <w:p>
      <w:pPr>
        <w:pStyle w:val="ListBullet"/>
        <w:keepLines w:val="1"/>
        <w:keepNext w:val="1"/>
        <w:widowControl w:val="1"/>
      </w:pPr>
      <w:r>
        <w:t>INV: 10 %</w:t>
      </w:r>
    </w:p>
    <w:p>
      <w:pPr>
        <w:pStyle w:val="ListBullet"/>
        <w:keepLines w:val="1"/>
        <w:keepNext w:val="1"/>
        <w:widowControl w:val="1"/>
      </w:pPr>
      <w:r>
        <w:t>THR: 20 %</w:t>
      </w:r>
    </w:p>
    <w:p>
      <w:pPr>
        <w:pStyle w:val="ListBullet"/>
        <w:keepLines w:val="1"/>
        <w:keepNext w:val="1"/>
        <w:widowControl w:val="1"/>
      </w:pPr>
      <w:r>
        <w:t>MET: 15 %</w:t>
      </w:r>
    </w:p>
    <w:p>
      <w:pPr>
        <w:pStyle w:val="ListBullet"/>
        <w:keepLines w:val="1"/>
        <w:keepNext w:val="1"/>
        <w:widowControl w:val="1"/>
      </w:pPr>
      <w:r>
        <w:t>VUL: 15 %</w:t>
      </w:r>
    </w:p>
    <w:p>
      <w:pPr>
        <w:pStyle w:val="ListBullet"/>
        <w:keepLines w:val="1"/>
        <w:keepNext w:val="1"/>
        <w:widowControl w:val="1"/>
      </w:pPr>
      <w:r>
        <w:t>RES: 15 %</w:t>
      </w:r>
    </w:p>
    <w:p>
      <w:pPr>
        <w:pStyle w:val="ListBullet"/>
        <w:keepLines w:val="1"/>
        <w:widowControl w:val="1"/>
      </w:pPr>
      <w:r>
        <w:t>TAL: 10 %</w:t>
      </w:r>
    </w:p>
    <w:p>
      <w:r>
        <w:t>La ponderación deberá revisarse en un comité técnico.</w:t>
      </w:r>
    </w:p>
    <w:p>
      <w:pPr>
        <w:pStyle w:val="Heading3"/>
        <w:keepNext/>
        <w:keepLines/>
      </w:pPr>
      <w:r>
        <w:t>4.3. Escala de madurez</w:t>
      </w:r>
    </w:p>
    <w:p>
      <w:r>
        <w:t>Propuesta de niveles:</w:t>
      </w:r>
    </w:p>
    <w:p>
      <w:pPr>
        <w:pStyle w:val="ListBullet"/>
        <w:keepLines w:val="1"/>
        <w:keepNext w:val="1"/>
        <w:widowControl w:val="1"/>
      </w:pPr>
      <w:r>
        <w:t>0–19: Inicial / reactivo.</w:t>
      </w:r>
    </w:p>
    <w:p>
      <w:pPr>
        <w:pStyle w:val="ListBullet"/>
        <w:keepLines w:val="1"/>
        <w:keepNext w:val="1"/>
        <w:widowControl w:val="1"/>
      </w:pPr>
      <w:r>
        <w:t>20–39: Básico.</w:t>
      </w:r>
    </w:p>
    <w:p>
      <w:pPr>
        <w:pStyle w:val="ListBullet"/>
        <w:keepLines w:val="1"/>
        <w:keepNext w:val="1"/>
        <w:widowControl w:val="1"/>
      </w:pPr>
      <w:r>
        <w:t>40–59: Intermedio.</w:t>
      </w:r>
    </w:p>
    <w:p>
      <w:pPr>
        <w:pStyle w:val="ListBullet"/>
        <w:keepLines w:val="1"/>
        <w:keepNext w:val="1"/>
        <w:widowControl w:val="1"/>
      </w:pPr>
      <w:r>
        <w:t>60–79: Avanzado.</w:t>
      </w:r>
    </w:p>
    <w:p>
      <w:pPr>
        <w:pStyle w:val="ListBullet"/>
        <w:keepLines w:val="1"/>
        <w:widowControl w:val="1"/>
      </w:pPr>
      <w:r>
        <w:t>80–100: Excelente / líder.</w:t>
      </w:r>
    </w:p>
    <w:p>
      <w:r>
        <w:t>Cada nivel se describirá con un relato comprensible para la dirección y los reguladores.</w:t>
      </w:r>
    </w:p>
    <w:p>
      <w:pPr>
        <w:pStyle w:val="Heading2"/>
        <w:keepNext/>
        <w:keepLines/>
      </w:pPr>
      <w:r>
        <w:rPr>
          <w:color w:val="0066CC"/>
        </w:rPr>
        <w:t>5. Asignación de puntuaciones por pregunta</w:t>
      </w:r>
    </w:p>
    <w:p>
      <w:pPr>
        <w:pStyle w:val="Heading3"/>
        <w:keepNext/>
        <w:keepLines/>
      </w:pPr>
      <w:r>
        <w:t>5.1. Ejemplos ilustrativos</w:t>
      </w:r>
    </w:p>
    <w:p>
      <w:r>
        <w:t>Para cada pregunta cerrada se definirá una escala numérica. A modo de ejemplo:</w:t>
      </w:r>
    </w:p>
    <w:p>
      <w:r>
        <w:rPr>
          <w:b/>
        </w:rPr>
        <w:t>P1. Estrategia formal de ciberseguridad</w:t>
      </w:r>
    </w:p>
    <w:p>
      <w:pPr>
        <w:pStyle w:val="ListBullet"/>
        <w:keepLines w:val="1"/>
        <w:keepNext w:val="1"/>
        <w:widowControl w:val="1"/>
      </w:pPr>
      <w:r>
        <w:t>Aprobada y vigente, revisión anual: 4 puntos.</w:t>
      </w:r>
    </w:p>
    <w:p>
      <w:pPr>
        <w:pStyle w:val="ListBullet"/>
        <w:keepLines w:val="1"/>
        <w:keepNext w:val="1"/>
        <w:widowControl w:val="1"/>
      </w:pPr>
      <w:r>
        <w:t>Aprobada, sin revisión reciente: 3 puntos.</w:t>
      </w:r>
    </w:p>
    <w:p>
      <w:pPr>
        <w:pStyle w:val="ListBullet"/>
        <w:keepLines w:val="1"/>
        <w:keepNext w:val="1"/>
        <w:widowControl w:val="1"/>
      </w:pPr>
      <w:r>
        <w:t>Borrador informal: 2 puntos.</w:t>
      </w:r>
    </w:p>
    <w:p>
      <w:pPr>
        <w:pStyle w:val="ListBullet"/>
        <w:keepLines w:val="1"/>
        <w:keepNext w:val="1"/>
        <w:widowControl w:val="1"/>
      </w:pPr>
      <w:r>
        <w:t>No existe: 0 puntos.</w:t>
      </w:r>
    </w:p>
    <w:p>
      <w:pPr>
        <w:pStyle w:val="ListBullet"/>
        <w:keepLines w:val="1"/>
        <w:widowControl w:val="1"/>
      </w:pPr>
      <w:r>
        <w:t>No sabe: sin puntuación (o imputación conservadora).</w:t>
      </w:r>
    </w:p>
    <w:p>
      <w:r>
        <w:rPr>
          <w:b/>
        </w:rPr>
        <w:t>P9. Modelado de amenazas aplicado</w:t>
      </w:r>
    </w:p>
    <w:p>
      <w:pPr>
        <w:pStyle w:val="ListBullet"/>
        <w:keepLines w:val="1"/>
        <w:keepNext w:val="1"/>
        <w:widowControl w:val="1"/>
      </w:pPr>
      <w:r>
        <w:t>Sistemático en la mayoría de sistemas críticos: 4 puntos.</w:t>
      </w:r>
    </w:p>
    <w:p>
      <w:pPr>
        <w:pStyle w:val="ListBullet"/>
        <w:keepLines w:val="1"/>
        <w:keepNext w:val="1"/>
        <w:widowControl w:val="1"/>
      </w:pPr>
      <w:r>
        <w:t>Solo en proyectos de alta visibilidad: 3 puntos.</w:t>
      </w:r>
    </w:p>
    <w:p>
      <w:pPr>
        <w:pStyle w:val="ListBullet"/>
        <w:keepLines w:val="1"/>
        <w:keepNext w:val="1"/>
        <w:widowControl w:val="1"/>
      </w:pPr>
      <w:r>
        <w:t>En piloto / experimental: 2 puntos.</w:t>
      </w:r>
    </w:p>
    <w:p>
      <w:pPr>
        <w:pStyle w:val="ListBullet"/>
        <w:keepLines w:val="1"/>
        <w:keepNext w:val="1"/>
        <w:widowControl w:val="1"/>
      </w:pPr>
      <w:r>
        <w:t>Conocido pero no aplicado: 1 punto.</w:t>
      </w:r>
    </w:p>
    <w:p>
      <w:pPr>
        <w:pStyle w:val="ListBullet"/>
        <w:keepLines w:val="1"/>
        <w:widowControl w:val="1"/>
      </w:pPr>
      <w:r>
        <w:t>Desconocido: 0 puntos.</w:t>
      </w:r>
    </w:p>
    <w:p>
      <w:r>
        <w:t>Se recomienda que cada bloque tenga una puntuación máxima homogénea (por ejemplo, 20 puntos), y que las preguntas se ponderen en función de su relevancia.</w:t>
      </w:r>
    </w:p>
    <w:p>
      <w:pPr>
        <w:pStyle w:val="Heading3"/>
        <w:keepNext/>
        <w:keepLines/>
      </w:pPr>
      <w:r>
        <w:t>5.2. Tratamiento de respuestas “No sabe / no responde”</w:t>
      </w:r>
    </w:p>
    <w:p>
      <w:r>
        <w:t>Opciones:</w:t>
      </w:r>
    </w:p>
    <w:p>
      <w:pPr>
        <w:pStyle w:val="ListBullet"/>
        <w:keepLines w:val="1"/>
        <w:keepNext w:val="1"/>
        <w:widowControl w:val="1"/>
      </w:pPr>
      <w:r>
        <w:t>Asignar puntuación 0 (enfoque prudente).</w:t>
      </w:r>
    </w:p>
    <w:p>
      <w:pPr>
        <w:pStyle w:val="ListBullet"/>
        <w:keepLines w:val="1"/>
        <w:keepNext w:val="1"/>
        <w:widowControl w:val="1"/>
      </w:pPr>
      <w:r>
        <w:t>Tratar como dato faltante y normalizar sobre las preguntas respondidas.</w:t>
      </w:r>
    </w:p>
    <w:p>
      <w:pPr>
        <w:pStyle w:val="ListBullet"/>
        <w:keepLines w:val="1"/>
        <w:widowControl w:val="1"/>
      </w:pPr>
      <w:r>
        <w:t>Aplicar reglas mixtas dependiendo de la criticidad de la pregunta.</w:t>
      </w:r>
    </w:p>
    <w:p>
      <w:r>
        <w:t>La elección debe documentarse para evitar sesgos no deseados.</w:t>
      </w:r>
    </w:p>
    <w:p>
      <w:pPr>
        <w:pStyle w:val="Heading2"/>
        <w:keepNext/>
        <w:keepLines/>
      </w:pPr>
      <w:r>
        <w:rPr>
          <w:color w:val="0066CC"/>
        </w:rPr>
        <w:t>6. Cálculo del ROI (retorno de inversión)</w:t>
      </w:r>
    </w:p>
    <w:p>
      <w:pPr>
        <w:pStyle w:val="Heading3"/>
        <w:keepNext/>
        <w:keepLines/>
      </w:pPr>
      <w:r>
        <w:t>6.1. Concepto</w:t>
      </w:r>
    </w:p>
    <w:p>
      <w:r>
        <w:t>Se propone un cálculo de ROI centrado en:</w:t>
      </w:r>
    </w:p>
    <w:p>
      <w:pPr>
        <w:pStyle w:val="ListBullet"/>
        <w:keepLines w:val="1"/>
        <w:keepNext w:val="1"/>
        <w:widowControl w:val="1"/>
      </w:pPr>
      <w:r>
        <w:t>Beneficios: reducción estimada de pérdidas por incidentes, mejora en cumplimiento, evitación de sanciones y reducción de interrupciones de negocio.</w:t>
      </w:r>
    </w:p>
    <w:p>
      <w:pPr>
        <w:pStyle w:val="ListBullet"/>
        <w:keepLines w:val="1"/>
        <w:widowControl w:val="1"/>
      </w:pPr>
      <w:r>
        <w:t>Costes: inversiones directas en tecnologías, personal, servicios externos y formación.</w:t>
      </w:r>
    </w:p>
    <w:p>
      <w:r>
        <w:t>ROI (%) = (Beneficio estimado – Coste total) / Coste total × 100</w:t>
      </w:r>
    </w:p>
    <w:p>
      <w:r>
        <w:t>Los datos necesarios se recogerán en un formulario complementario o mediante entrevistas, más que en el cuestionario base (para no disparar la longitud).</w:t>
      </w:r>
    </w:p>
    <w:p>
      <w:pPr>
        <w:pStyle w:val="Heading3"/>
        <w:keepNext/>
        <w:keepLines/>
      </w:pPr>
      <w:r>
        <w:t>6.2. Conexión con el IGM</w:t>
      </w:r>
    </w:p>
    <w:p>
      <w:r>
        <w:t>Se puede correlacionar la evolución del IGM con:</w:t>
      </w:r>
    </w:p>
    <w:p>
      <w:pPr>
        <w:pStyle w:val="ListBullet"/>
        <w:keepLines w:val="1"/>
        <w:keepNext w:val="1"/>
        <w:widowControl w:val="1"/>
      </w:pPr>
      <w:r>
        <w:t>Frecuencia y gravedad de incidentes.</w:t>
      </w:r>
    </w:p>
    <w:p>
      <w:pPr>
        <w:pStyle w:val="ListBullet"/>
        <w:keepLines w:val="1"/>
        <w:keepNext w:val="1"/>
        <w:widowControl w:val="1"/>
      </w:pPr>
      <w:r>
        <w:t>Pérdidas económicas asociadas.</w:t>
      </w:r>
    </w:p>
    <w:p>
      <w:pPr>
        <w:pStyle w:val="ListBullet"/>
        <w:keepLines w:val="1"/>
        <w:keepNext w:val="1"/>
        <w:widowControl w:val="1"/>
      </w:pPr>
      <w:r>
        <w:t>Multas / sanciones.</w:t>
      </w:r>
    </w:p>
    <w:p>
      <w:pPr>
        <w:pStyle w:val="ListBullet"/>
        <w:keepLines w:val="1"/>
        <w:widowControl w:val="1"/>
      </w:pPr>
      <w:r>
        <w:t>Percepción de riesgo por parte de la dirección.</w:t>
      </w:r>
    </w:p>
    <w:p>
      <w:r>
        <w:t>Esto permite observar si, al aumentar la madurez (IGM), se materializan beneficios tangibles (reducción de pérdidas o riesgos evitados).</w:t>
      </w:r>
    </w:p>
    <w:p>
      <w:pPr>
        <w:pStyle w:val="Heading2"/>
        <w:keepNext/>
        <w:keepLines/>
      </w:pPr>
      <w:r>
        <w:rPr>
          <w:color w:val="0066CC"/>
        </w:rPr>
        <w:t>7. Proceso de recogida de datos</w:t>
      </w:r>
    </w:p>
    <w:p>
      <w:pPr>
        <w:pStyle w:val="Heading3"/>
        <w:keepNext/>
        <w:keepLines/>
      </w:pPr>
      <w:r>
        <w:t>7.1. Canales y formato</w:t>
      </w:r>
    </w:p>
    <w:p>
      <w:pPr>
        <w:pStyle w:val="ListBullet"/>
        <w:keepLines w:val="1"/>
        <w:keepNext w:val="1"/>
        <w:widowControl w:val="1"/>
      </w:pPr>
      <w:r>
        <w:t>Encuesta online (preferible) mediante plataforma segura.</w:t>
      </w:r>
    </w:p>
    <w:p>
      <w:pPr>
        <w:pStyle w:val="ListBullet"/>
        <w:keepLines w:val="1"/>
        <w:keepNext w:val="1"/>
        <w:widowControl w:val="1"/>
      </w:pPr>
      <w:r>
        <w:t>Alternativamente, cuestionario en formato PDF / Word con posterior volcado a Excel.</w:t>
      </w:r>
    </w:p>
    <w:p>
      <w:pPr>
        <w:pStyle w:val="ListBullet"/>
        <w:keepLines w:val="1"/>
        <w:widowControl w:val="1"/>
      </w:pPr>
      <w:r>
        <w:t>Entrevistas estructuradas para entidades clave (muestra cualitativa).</w:t>
      </w:r>
    </w:p>
    <w:p>
      <w:pPr>
        <w:pStyle w:val="Heading3"/>
        <w:keepNext/>
        <w:keepLines/>
      </w:pPr>
      <w:r>
        <w:t>7.2. Garantías de confidencialidad</w:t>
      </w:r>
    </w:p>
    <w:p>
      <w:pPr>
        <w:pStyle w:val="ListBullet"/>
        <w:keepLines w:val="1"/>
        <w:keepNext w:val="1"/>
        <w:widowControl w:val="1"/>
      </w:pPr>
      <w:r>
        <w:t>Agregación de resultados por sector y tamaño; no se publicarán datos identificables.</w:t>
      </w:r>
    </w:p>
    <w:p>
      <w:pPr>
        <w:pStyle w:val="ListBullet"/>
        <w:keepLines w:val="1"/>
        <w:keepNext w:val="1"/>
        <w:widowControl w:val="1"/>
      </w:pPr>
      <w:r>
        <w:t>Posibilidad de compartir a cada organización un informe individual comparado (benchmark) de forma confidencial.</w:t>
      </w:r>
    </w:p>
    <w:p>
      <w:pPr>
        <w:pStyle w:val="ListBullet"/>
        <w:keepLines w:val="1"/>
        <w:widowControl w:val="1"/>
      </w:pPr>
      <w:r>
        <w:t>Consentimiento explícito sobre el uso de datos.</w:t>
      </w:r>
    </w:p>
    <w:p>
      <w:pPr>
        <w:pStyle w:val="Heading2"/>
        <w:keepNext/>
        <w:keepLines/>
      </w:pPr>
      <w:r>
        <w:rPr>
          <w:color w:val="0066CC"/>
        </w:rPr>
        <w:t>8. Validación y pilotos</w:t>
      </w:r>
    </w:p>
    <w:p>
      <w:r>
        <w:t>Antes del despliegue masivo:</w:t>
      </w:r>
    </w:p>
    <w:p>
      <w:pPr>
        <w:pStyle w:val="ListBullet"/>
        <w:keepLines w:val="1"/>
        <w:keepNext w:val="1"/>
        <w:widowControl w:val="1"/>
      </w:pPr>
      <w:r>
        <w:t>Realizar un piloto con un conjunto reducido de organizaciones de distintos sectores.</w:t>
      </w:r>
    </w:p>
    <w:p>
      <w:pPr>
        <w:pStyle w:val="ListBullet"/>
        <w:keepLines w:val="1"/>
        <w:keepNext w:val="1"/>
        <w:widowControl w:val="1"/>
      </w:pPr>
      <w:r>
        <w:t>Evaluar:</w:t>
      </w:r>
    </w:p>
    <w:p>
      <w:pPr>
        <w:pStyle w:val="ListBullet"/>
        <w:keepLines w:val="1"/>
        <w:keepNext w:val="1"/>
        <w:widowControl w:val="1"/>
      </w:pPr>
      <w:r>
        <w:t>Claridad de las preguntas.</w:t>
      </w:r>
    </w:p>
    <w:p>
      <w:pPr>
        <w:pStyle w:val="ListBullet"/>
        <w:keepLines w:val="1"/>
        <w:keepNext w:val="1"/>
        <w:widowControl w:val="1"/>
      </w:pPr>
      <w:r>
        <w:t>Tiempo promedio de cumplimentación.</w:t>
      </w:r>
    </w:p>
    <w:p>
      <w:pPr>
        <w:pStyle w:val="ListBullet"/>
        <w:keepLines w:val="1"/>
        <w:keepNext w:val="1"/>
        <w:widowControl w:val="1"/>
      </w:pPr>
      <w:r>
        <w:t>Coherencia de resultados.</w:t>
      </w:r>
    </w:p>
    <w:p>
      <w:pPr>
        <w:pStyle w:val="ListBullet"/>
        <w:keepLines w:val="1"/>
        <w:widowControl w:val="1"/>
      </w:pPr>
      <w:r>
        <w:t>Ajustar redacción, escalas y ponderaciones.</w:t>
      </w:r>
    </w:p>
    <w:p>
      <w:pPr>
        <w:pStyle w:val="Heading2"/>
        <w:keepNext/>
        <w:keepLines/>
      </w:pPr>
      <w:r>
        <w:rPr>
          <w:color w:val="0066CC"/>
        </w:rPr>
        <w:t>9. Análisis y presentación de resultados</w:t>
      </w:r>
    </w:p>
    <w:p>
      <w:pPr>
        <w:pStyle w:val="Heading3"/>
        <w:keepNext/>
        <w:keepLines/>
      </w:pPr>
      <w:r>
        <w:t>9.1. Análisis cuantitativo</w:t>
      </w:r>
    </w:p>
    <w:p>
      <w:pPr>
        <w:pStyle w:val="ListBullet"/>
        <w:keepLines w:val="1"/>
        <w:keepNext w:val="1"/>
        <w:widowControl w:val="1"/>
      </w:pPr>
      <w:r>
        <w:t>Cálculo de IGM por organización, sector y tamaño.</w:t>
      </w:r>
    </w:p>
    <w:p>
      <w:pPr>
        <w:pStyle w:val="ListBullet"/>
        <w:keepLines w:val="1"/>
        <w:keepNext w:val="1"/>
        <w:widowControl w:val="1"/>
      </w:pPr>
      <w:r>
        <w:t>Distribuciones y estadísticas descriptivas (media, mediana, desviación).</w:t>
      </w:r>
    </w:p>
    <w:p>
      <w:pPr>
        <w:pStyle w:val="ListBullet"/>
        <w:keepLines w:val="1"/>
        <w:widowControl w:val="1"/>
      </w:pPr>
      <w:r>
        <w:t>Identificación de “top performers” y “cola larga”.</w:t>
      </w:r>
    </w:p>
    <w:p>
      <w:pPr>
        <w:pStyle w:val="Heading3"/>
        <w:keepNext/>
        <w:keepLines/>
      </w:pPr>
      <w:r>
        <w:t>9.2. Análisis cualitativo</w:t>
      </w:r>
    </w:p>
    <w:p>
      <w:pPr>
        <w:pStyle w:val="ListBullet"/>
        <w:keepLines w:val="1"/>
        <w:keepNext w:val="1"/>
        <w:widowControl w:val="1"/>
      </w:pPr>
      <w:r>
        <w:t>Análisis temático de comentarios abiertos.</w:t>
      </w:r>
    </w:p>
    <w:p>
      <w:pPr>
        <w:pStyle w:val="ListBullet"/>
        <w:keepLines w:val="1"/>
        <w:widowControl w:val="1"/>
      </w:pPr>
      <w:r>
        <w:t>Identificación de patrones narrativos (puntos de dolor, barreras, buenas prácticas).</w:t>
      </w:r>
    </w:p>
    <w:p>
      <w:pPr>
        <w:pStyle w:val="Heading3"/>
        <w:keepNext/>
        <w:keepLines/>
      </w:pPr>
      <w:r>
        <w:t>9.3. Visualización</w:t>
      </w:r>
    </w:p>
    <w:p>
      <w:pPr>
        <w:pStyle w:val="ListBullet"/>
        <w:keepLines w:val="1"/>
        <w:keepNext w:val="1"/>
        <w:widowControl w:val="1"/>
      </w:pPr>
      <w:r>
        <w:t>Gráficos de radar para bloques de madurez.</w:t>
      </w:r>
    </w:p>
    <w:p>
      <w:pPr>
        <w:pStyle w:val="ListBullet"/>
        <w:keepLines w:val="1"/>
        <w:keepNext w:val="1"/>
        <w:widowControl w:val="1"/>
      </w:pPr>
      <w:r>
        <w:t>Mapas de calor por sector y tamaño.</w:t>
      </w:r>
    </w:p>
    <w:p>
      <w:pPr>
        <w:pStyle w:val="ListBullet"/>
        <w:keepLines w:val="1"/>
        <w:widowControl w:val="1"/>
      </w:pPr>
      <w:r>
        <w:t>Series temporales si se repite la encuesta en años sucesivos.</w:t>
      </w:r>
    </w:p>
    <w:p>
      <w:pPr>
        <w:pStyle w:val="Heading2"/>
        <w:keepNext/>
        <w:keepLines/>
      </w:pPr>
      <w:r>
        <w:rPr>
          <w:color w:val="0066CC"/>
        </w:rPr>
        <w:t>10. Uso responsable de los resultados</w:t>
      </w:r>
    </w:p>
    <w:p>
      <w:r>
        <w:t>La encuesta no pretende ser un examen ni un mecanismo punitivo, sino:</w:t>
      </w:r>
    </w:p>
    <w:p>
      <w:pPr>
        <w:pStyle w:val="ListBullet"/>
        <w:keepLines w:val="1"/>
        <w:keepNext w:val="1"/>
        <w:widowControl w:val="1"/>
      </w:pPr>
      <w:r>
        <w:t>Una herramienta diagnóstica.</w:t>
      </w:r>
    </w:p>
    <w:p>
      <w:pPr>
        <w:pStyle w:val="ListBullet"/>
        <w:keepLines w:val="1"/>
        <w:keepNext w:val="1"/>
        <w:widowControl w:val="1"/>
      </w:pPr>
      <w:r>
        <w:t>Un indicador de dónde conviene invertir mejor.</w:t>
      </w:r>
    </w:p>
    <w:p>
      <w:pPr>
        <w:pStyle w:val="ListBullet"/>
        <w:keepLines w:val="1"/>
        <w:widowControl w:val="1"/>
      </w:pPr>
      <w:r>
        <w:t>Un mecanismo para alinear diálogo entre técnicos, gestores y reguladores.</w:t>
      </w:r>
    </w:p>
    <w:p>
      <w:r>
        <w:t>Se recomienda acompañar los resultados de recomendaciones concretas y realistas, evitando tanto el alarmismo fácil como la complacencia.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