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</w:t>
      </w:r>
    </w:p>
    <w:p>
      <w:r>
        <w:t>Escala de valoración: 1 (muy bajo) – 5 (muy alto)</w:t>
      </w:r>
    </w:p>
    <w:p>
      <w:pPr>
        <w:pStyle w:val="Heading2"/>
        <w:keepNext/>
        <w:keepLines/>
      </w:pPr>
      <w:r>
        <w:rPr>
          <w:color w:val="0066CC"/>
        </w:rPr>
        <w:t>1. Leyenda de criterios</w:t>
      </w:r>
    </w:p>
    <w:p>
      <w:pPr>
        <w:pStyle w:val="ListBullet"/>
        <w:keepLines w:val="1"/>
        <w:keepNext w:val="1"/>
        <w:widowControl w:val="1"/>
      </w:pPr>
      <w:r>
        <w:t>P (Predictiva)</w:t>
      </w:r>
    </w:p>
    <w:p>
      <w:pPr>
        <w:pStyle w:val="ListBullet"/>
        <w:keepLines w:val="1"/>
        <w:keepNext w:val="1"/>
        <w:widowControl w:val="1"/>
      </w:pPr>
      <w:r>
        <w:t>R (Relevante)</w:t>
      </w:r>
    </w:p>
    <w:p>
      <w:pPr>
        <w:pStyle w:val="ListBullet"/>
        <w:keepLines w:val="1"/>
        <w:keepNext w:val="1"/>
        <w:widowControl w:val="1"/>
      </w:pPr>
      <w:r>
        <w:t>A (Accionable)</w:t>
      </w:r>
    </w:p>
    <w:p>
      <w:pPr>
        <w:pStyle w:val="ListBullet"/>
        <w:keepLines w:val="1"/>
        <w:keepNext w:val="1"/>
        <w:widowControl w:val="1"/>
      </w:pPr>
      <w:r>
        <w:t>G (Genuina)</w:t>
      </w:r>
    </w:p>
    <w:p>
      <w:pPr>
        <w:pStyle w:val="ListBullet"/>
        <w:keepLines w:val="1"/>
        <w:keepNext w:val="1"/>
        <w:widowControl w:val="1"/>
      </w:pPr>
      <w:r>
        <w:t>M (Significativa)</w:t>
      </w:r>
    </w:p>
    <w:p>
      <w:pPr>
        <w:pStyle w:val="ListBullet"/>
        <w:keepLines w:val="1"/>
        <w:keepNext w:val="1"/>
        <w:widowControl w:val="1"/>
      </w:pPr>
      <w:r>
        <w:t>P2 (Precisa)</w:t>
      </w:r>
    </w:p>
    <w:p>
      <w:pPr>
        <w:pStyle w:val="ListBullet"/>
        <w:keepLines w:val="1"/>
        <w:keepNext w:val="1"/>
        <w:widowControl w:val="1"/>
      </w:pPr>
      <w:r>
        <w:t>O (Oportuna)</w:t>
      </w:r>
    </w:p>
    <w:p>
      <w:pPr>
        <w:pStyle w:val="ListBullet"/>
        <w:keepLines w:val="1"/>
        <w:keepNext w:val="1"/>
        <w:widowControl w:val="1"/>
      </w:pPr>
      <w:r>
        <w:t>I (Independiente)</w:t>
      </w:r>
    </w:p>
    <w:p>
      <w:pPr>
        <w:pStyle w:val="ListBullet"/>
        <w:keepLines w:val="1"/>
        <w:widowControl w:val="1"/>
      </w:pPr>
      <w:r>
        <w:t>C (Rentable / Cost-effective)</w:t>
      </w:r>
    </w:p>
    <w:p>
      <w:pPr>
        <w:pStyle w:val="Heading2"/>
        <w:keepNext/>
        <w:keepLines/>
      </w:pPr>
      <w:r>
        <w:rPr>
          <w:color w:val="0066CC"/>
        </w:rPr>
        <w:t>2. Tabla de métricas principales</w:t>
      </w:r>
    </w:p>
    <w:p>
      <w:pPr>
        <w:pStyle w:val="Heading3"/>
        <w:keepNext/>
        <w:keepLines/>
      </w:pPr>
      <w:r>
        <w:t>2.1. Métricas de G1 – Cobertura de modelado de amenazas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 clave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G1.M1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sistemas críticos con modelo de amenazas vigente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central de madurez en modelado; requiere inventario fiable.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G1.M2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Frecuencia media de revisión de modelos (meses)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Ayuda a ver si los modelos son “vivos”; precisa registro de revisiones.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G1.M3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proyectos con modelado de amenazas en SDLC/CI-CD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Alta capacidad para impulsar DevSecOps; costes de medición moderados.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G1.M4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Índice de participación multidisciplinar en sesiones de modelado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Buen indicador cultural; algo más cualitativo y menos preciso.</w:t>
            </w:r>
          </w:p>
        </w:tc>
      </w:tr>
    </w:tbl>
    <w:p/>
    <w:p>
      <w:pPr>
        <w:pStyle w:val="Heading3"/>
        <w:keepNext/>
        <w:keepLines/>
      </w:pPr>
      <w:r>
        <w:t>2.2. Métricas de G2 – Vulnerabilidades explotadas activamente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 clave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G2.M1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vulnerabilidades explotadas activamente abiertas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Muy predictiva de riesgo inmediato; requiere buena integración con feeds de amenazas.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G2.M2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vulnerabilidades explotadas activas con &gt;12 meses de antigüedad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Señal clara de deuda de seguridad; algo costoso de mantener en organizaciones sin inventario maduro.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G2.M3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Tiempo medio de remediación de vulnerabilidades críticas (días)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Métrica clásica de gestión de vulnerabilidades, muy accionable.</w:t>
            </w:r>
          </w:p>
        </w:tc>
      </w:tr>
    </w:tbl>
    <w:p/>
    <w:p>
      <w:pPr>
        <w:pStyle w:val="Heading3"/>
        <w:keepNext/>
        <w:keepLines/>
      </w:pPr>
      <w:r>
        <w:t>2.3. Métricas de G3 – Tiempos de detección, contención y recuperación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 clave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G3.M1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MTTD de incidentes significativos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Requiere definición clara de “incidente significativo”; muy útil para SOC.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G3.M2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MTTC de incidentes significativos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Complementa al MTTD; refleja capacidad operativa.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G3.M3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MTTR de servicios esenciales tras incidentes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Muy relevante para negocio y reguladores; medición más compleja.</w:t>
            </w:r>
          </w:p>
        </w:tc>
      </w:tr>
    </w:tbl>
    <w:p/>
    <w:p>
      <w:pPr>
        <w:pStyle w:val="Heading3"/>
        <w:keepNext/>
        <w:keepLines/>
      </w:pPr>
      <w:r>
        <w:t>2.4. Métricas de G4 – Riesgo económico y decisiones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 clave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G4.M1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organizaciones que usan modelos económicos de riesgo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Buena para ver adopción; menos predictiva por sí misma.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G4.M2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Frecuencia de reporting de métricas económicas al Consejo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Indica madurez en comunicación; precisión moderada.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G4.M3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% de decisiones de inversión que citan explícitamente modelos de riesgo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Accionable pero difícil de medir con precisión; requiere trazabilidad en decisiones.</w:t>
            </w:r>
          </w:p>
        </w:tc>
      </w:tr>
    </w:tbl>
    <w:p/>
    <w:p>
      <w:pPr>
        <w:pStyle w:val="Heading3"/>
        <w:keepNext/>
        <w:keepLines/>
      </w:pPr>
      <w:r>
        <w:t>2.5. Métricas de G5 – Cadena de suministro y terceros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 clave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G5.M1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proveedores críticos evaluados en ciber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Clave para NIS2/DORA; dependiente de inventarios contractuales fiables.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G5.M2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Frecuencia media de revisión de riesgos de terceros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Ayuda a ver si el control es continuo o puntual.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G5.M3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% de incidentes significativos atribuibles a terceros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5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Difícil de atribuir con precisión; muy significativa para regulación.</w:t>
            </w:r>
          </w:p>
        </w:tc>
      </w:tr>
    </w:tbl>
    <w:p/>
    <w:p>
      <w:pPr>
        <w:pStyle w:val="Heading3"/>
        <w:keepNext/>
        <w:keepLines/>
      </w:pPr>
      <w:r>
        <w:t>2.6. Métricas de G6 – Talento, cultura y colaboración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cantSplit w:val="1"/>
        </w:trPr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P2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7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Comentarios clave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G6.M1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Índice de suficiencia de recursos internos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Basado en autoevaluación; útil para políticas de talento.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G6.M2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organizaciones con dificultades graves para cubrir vacantes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Agregado nacional útil para planificación de formación y empleo.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  <w:keepNext w:val="1"/>
            </w:pPr>
            <w:r>
              <w:t>G6.M3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% de empleados cubiertos por programas de concienciación anual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  <w:keepNext w:val="1"/>
            </w:pPr>
            <w:r>
              <w:t>Métrica clásica, fácil de obtener y comunicar.</w:t>
            </w:r>
          </w:p>
        </w:tc>
      </w:tr>
      <w:tr>
        <w:trPr>
          <w:cantSplit w:val="1"/>
        </w:trPr>
        <w:tc>
          <w:tcPr>
            <w:tcW w:type="dxa" w:w="780"/>
          </w:tcPr>
          <w:p>
            <w:pPr>
              <w:keepLines w:val="1"/>
            </w:pPr>
            <w:r>
              <w:t>G6.M4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% de organizaciones que participan en foros/CSIRTs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4</w:t>
            </w:r>
          </w:p>
        </w:tc>
        <w:tc>
          <w:tcPr>
            <w:tcW w:type="dxa" w:w="780"/>
          </w:tcPr>
          <w:p>
            <w:pPr>
              <w:keepLines w:val="1"/>
            </w:pPr>
            <w:r>
              <w:t>Indica madurez colaborativa y capacidad de respuesta sectorial.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Puntuación PRAGMATIC global por métrica</w:t>
      </w:r>
    </w:p>
    <w:p>
      <w:r>
        <w:t xml:space="preserve">Se puede calcular una </w:t>
      </w:r>
      <w:r>
        <w:rPr>
          <w:b/>
        </w:rPr>
        <w:t>puntuación compuesta</w:t>
      </w:r>
      <w:r>
        <w:t xml:space="preserve"> por métrica como:</w:t>
      </w:r>
    </w:p>
    <w:p>
      <w:r>
        <w:t>PRAGMATIC_Score = (P + R + A + G + M + P2 + O + I + C) / 9</w:t>
      </w:r>
    </w:p>
    <w:p>
      <w:r>
        <w:t>Opcionalmente, se pueden ponderar más algunos criterios (por ejemplo, Relevante, Accionable y Rentable) según el contexto de análisis nacional.</w:t>
      </w:r>
    </w:p>
    <w:p>
      <w:r>
        <w:t>La matriz anterior puede ampliarse a todas las métricas derivadas del cuestionario VAST, añadiendo filas y ajustando las puntuaciones a medida que se obtenga experiencia práctica.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