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 Objetivos y Métricas GQM a Requisitos Normativos</w:t>
      </w:r>
    </w:p>
    <w:p>
      <w:r>
        <w:t>Este documento complementa el marco GQM+PRAGMATIC mapeando objetivos (G) y métricas (M) clave a los principales marcos normativos aplicables (NIS2, DORA, ENS, ISO 27001/27002, NIST CSF).</w:t>
      </w:r>
    </w:p>
    <w:p>
      <w:pPr>
        <w:pStyle w:val="Heading2"/>
        <w:keepNext/>
        <w:keepLines/>
      </w:pPr>
      <w:r>
        <w:rPr>
          <w:color w:val="0066CC"/>
        </w:rPr>
        <w:t>Tabla de mapeo GQM–Normativa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 w:val="1"/>
        </w:trPr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Objetivo/Métrica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Descripción breve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27001/27002</w:t>
            </w:r>
          </w:p>
        </w:tc>
        <w:tc>
          <w:tcPr>
            <w:tcW w:type="dxa" w:w="1337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CSF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Cobertura de modelado de amenazas en sistemas críticos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 (medidas técnicas)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 (gestión de riesgos TIC)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Análisis y gestión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A.6, A.8, A.12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ID.RA-1, ID.RA-3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G1.M1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sistemas críticos con modelo de amenazas vigente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de análisis y protección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 (seguridad en desarrollo)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PR.IP-3, PR.IP-8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G1.M2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media de revisión de modelos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Revisión periódica de medidas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9 (evaluación)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ID.RA-3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G1.M3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proyectos con modelado en SDLC/CI-CD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Integración en ciclo de vida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A.14 (desarrollo seguro)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PR.IP-3, PR.IP-8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G1.M4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Índice de participación multidisciplinar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Organización y responsabilidades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A.5 (organización interna)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ID.GV-1, PR.AT-3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Reducción de vulnerabilidades explotadas activamente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Medidas técnicas y de prevención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A.12, A.13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PR.IP-12, DE.CM-8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G2.M1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vulnerabilidades explotadas activamente abiertas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vulnerabilidades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A.12, A.13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PR.IP-12, DE.CM-8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G2.M2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vulnerabilidades explotadas con &gt;12 meses de antigüedad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Mejora continua en parches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A.12, A.13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PR.IP-12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G2.M3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Tiempo medio de remediación de vulnerabilidades críticas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8,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Criterios de seguridad de sistemas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A.12, A.13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PR.IP-12, RS.MI-1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Reducción de tiempos de detección, contención y recuperación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23,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11, 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Gestión de incidentes y continuidad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A.16, A.17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DE.CM-1, RS.RP-1, RC.IM-1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G3.M1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MTTD de incidentes significativos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23,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Monitorización y detección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DE.CM-1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G3.M2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MTTC de incidentes significativos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23,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Respuesta a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RS.RP-1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G3.M3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MTTR de servicios esenciales tras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23, 24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11, 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Continuidad y recuperación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RC.IM-1, RC.RP-1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Uso de cuantificación económica del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Análisis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6, Cl. 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ID.RM-1, ID.RM-2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G4.M1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organizaciones con modelos económicos de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6, 11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riesgos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6, Cl. 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ID.RM-1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G4.M2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de reporting de métricas económicas al Consejo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Responsabilidad de la dirección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5 (liderazgo)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ID.GV-1, ID.GV-3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G4.M3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decisiones de inversión que citan modelos de riesgo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Integración de riesgos en decisiones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Cl. 6, Cl. 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ID.RM-1, ID.GV-3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Reforzar seguridad en cadena de suministro y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23,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Relaciones con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ID.SC-3, PR.AT-3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G5.M1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proveedores críticos evaluados en ciber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23,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Evaluación de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ID.SC-3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G5.M2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Frecuencia de revisión de riesgos de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21, 23,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Seguimiento continuo de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ID.SC-3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G5.M3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incidentes significativos atribuibles a terceros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23, 30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19, 28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Notificación y análisis de incidentes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RS.CO-1, ID.RA-1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Talento, cultura y colaboración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Recursos y concienciación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A.6, A.7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PR.AT-1, PR.AT-2, ID.BE-4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G6.M1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Índice de suficiencia de recursos internos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5,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Recursos humanos de seguridad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A.6, A.7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ID.GV-2, PR.AT-4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G6.M2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organizaciones con dificultades para cubrir vacantes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20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5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Recursos y planificación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A.6, A.7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ID.GV-2, PR.AT-4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  <w:keepNext w:val="1"/>
            </w:pPr>
            <w:r>
              <w:t>G6.M3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% de empleados cubiertos por concienciación anual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21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Art. 6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Concienciación y formación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A.6, A.7</w:t>
            </w:r>
          </w:p>
        </w:tc>
        <w:tc>
          <w:tcPr>
            <w:tcW w:type="dxa" w:w="1337"/>
          </w:tcPr>
          <w:p>
            <w:pPr>
              <w:keepLines w:val="1"/>
              <w:keepNext w:val="1"/>
            </w:pPr>
            <w:r>
              <w:t>PR.AT-1, PR.AT-2</w:t>
            </w:r>
          </w:p>
        </w:tc>
      </w:tr>
      <w:tr>
        <w:trPr>
          <w:cantSplit w:val="1"/>
        </w:trPr>
        <w:tc>
          <w:tcPr>
            <w:tcW w:type="dxa" w:w="1337"/>
          </w:tcPr>
          <w:p>
            <w:pPr>
              <w:keepLines w:val="1"/>
            </w:pPr>
            <w:r>
              <w:t>G6.M4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% de organizaciones que participan en foros/CSIRTs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21, 23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Art. 4, 6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Cooperación y coordinación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Cl. 4, Cl. 7</w:t>
            </w:r>
          </w:p>
        </w:tc>
        <w:tc>
          <w:tcPr>
            <w:tcW w:type="dxa" w:w="1337"/>
          </w:tcPr>
          <w:p>
            <w:pPr>
              <w:keepLines w:val="1"/>
            </w:pPr>
            <w:r>
              <w:t>ID.BE-4, RS.CO-3</w:t>
            </w:r>
          </w:p>
        </w:tc>
      </w:tr>
    </w:tbl>
    <w:p/>
    <w:p>
      <w:r>
        <w:t>Este mapeo permite demostrar cómo cada métrica contribuye al cumplimiento de requisitos concretos y facilita su defensa ante auditores y reguladores.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