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y ROI</w:t>
      </w:r>
    </w:p>
    <w:p>
      <w:r>
        <w:t>Este documento describe cómo estructurar un libro de Excel para calcular el Índice Global de Madurez (IGM) y el ROI de ciberseguridad a partir de las respuestas a la encuesta.</w:t>
      </w:r>
    </w:p>
    <w:p>
      <w:pPr>
        <w:pStyle w:val="Heading2"/>
        <w:keepNext/>
        <w:keepLines/>
      </w:pPr>
      <w:r>
        <w:rPr>
          <w:color w:val="0066CC"/>
        </w:rPr>
        <w:t>1. Estructura del libro de Excel</w:t>
      </w:r>
    </w:p>
    <w:p>
      <w:r>
        <w:t>Se recomienda un libro con, al menos, las siguientes hojas:</w:t>
      </w:r>
    </w:p>
    <w:p>
      <w:pPr>
        <w:pStyle w:val="ListNumber"/>
        <w:keepLines w:val="1"/>
        <w:keepNext w:val="1"/>
        <w:widowControl w:val="1"/>
      </w:pPr>
      <w:r>
        <w:t>Respuestas</w:t>
      </w:r>
    </w:p>
    <w:p>
      <w:pPr>
        <w:pStyle w:val="ListNumber"/>
        <w:keepLines w:val="1"/>
        <w:keepNext w:val="1"/>
        <w:widowControl w:val="1"/>
      </w:pPr>
      <w:r>
        <w:t>Puntuaciones</w:t>
      </w:r>
    </w:p>
    <w:p>
      <w:pPr>
        <w:pStyle w:val="ListNumber"/>
        <w:keepLines w:val="1"/>
        <w:keepNext w:val="1"/>
        <w:widowControl w:val="1"/>
      </w:pPr>
      <w:r>
        <w:t>IGM</w:t>
      </w:r>
    </w:p>
    <w:p>
      <w:pPr>
        <w:pStyle w:val="ListNumber"/>
        <w:keepLines w:val="1"/>
        <w:keepNext w:val="1"/>
        <w:widowControl w:val="1"/>
      </w:pPr>
      <w:r>
        <w:t>ROI</w:t>
      </w:r>
    </w:p>
    <w:p>
      <w:pPr>
        <w:pStyle w:val="ListNumber"/>
        <w:keepLines w:val="1"/>
        <w:widowControl w:val="1"/>
      </w:pPr>
      <w:r>
        <w:t>Parametros</w:t>
      </w:r>
    </w:p>
    <w:p>
      <w:pPr>
        <w:pStyle w:val="Heading2"/>
        <w:keepNext/>
        <w:keepLines/>
      </w:pPr>
      <w:r>
        <w:rPr>
          <w:color w:val="0066CC"/>
        </w:rPr>
        <w:t>2. Hoja Respuestas</w:t>
      </w:r>
    </w:p>
    <w:p>
      <w:r>
        <w:t>Columnas sugeridas (por filas, una organización):</w:t>
      </w:r>
    </w:p>
    <w:p>
      <w:pPr>
        <w:pStyle w:val="ListBullet"/>
        <w:keepLines w:val="1"/>
        <w:keepNext w:val="1"/>
        <w:widowControl w:val="1"/>
      </w:pPr>
      <w:r>
        <w:t>ID_Org – Identificador anónimo de la organización.</w:t>
      </w:r>
    </w:p>
    <w:p>
      <w:pPr>
        <w:pStyle w:val="ListBullet"/>
        <w:keepLines w:val="1"/>
        <w:keepNext w:val="1"/>
        <w:widowControl w:val="1"/>
      </w:pPr>
      <w:r>
        <w:t>Sector</w:t>
      </w:r>
    </w:p>
    <w:p>
      <w:pPr>
        <w:pStyle w:val="ListBullet"/>
        <w:keepLines w:val="1"/>
        <w:keepNext w:val="1"/>
        <w:widowControl w:val="1"/>
      </w:pPr>
      <w:r>
        <w:t>Tamano</w:t>
      </w:r>
    </w:p>
    <w:p>
      <w:pPr>
        <w:pStyle w:val="ListBullet"/>
        <w:keepLines w:val="1"/>
        <w:keepNext w:val="1"/>
        <w:widowControl w:val="1"/>
      </w:pPr>
      <w:r>
        <w:t>Tipo_Org</w:t>
      </w:r>
    </w:p>
    <w:p>
      <w:pPr>
        <w:pStyle w:val="ListBullet"/>
        <w:keepLines w:val="1"/>
        <w:widowControl w:val="1"/>
      </w:pPr>
      <w:r>
        <w:t>Rol_Respuesta</w:t>
      </w:r>
    </w:p>
    <w:p>
      <w:r>
        <w:t>Y columnas para cada pregunta cerrada:</w:t>
      </w:r>
    </w:p>
    <w:p>
      <w:pPr>
        <w:pStyle w:val="ListBullet"/>
        <w:keepLines w:val="1"/>
        <w:widowControl w:val="1"/>
      </w:pPr>
      <w:r>
        <w:t>P1, P2, ..., P36 (P37 es comentario abierto y puede ir en una columna de texto aparte).</w:t>
      </w:r>
    </w:p>
    <w:p>
      <w:r>
        <w:t>Las respuestas pueden codificarse como:</w:t>
      </w:r>
    </w:p>
    <w:p>
      <w:pPr>
        <w:pStyle w:val="ListBullet"/>
        <w:keepLines w:val="1"/>
        <w:keepNext w:val="1"/>
        <w:widowControl w:val="1"/>
      </w:pPr>
      <w:r>
        <w:t>Para opciones únicas: códigos numéricos (1, 2, 3, 4, 5).</w:t>
      </w:r>
    </w:p>
    <w:p>
      <w:pPr>
        <w:pStyle w:val="ListBullet"/>
        <w:keepLines w:val="1"/>
        <w:widowControl w:val="1"/>
      </w:pPr>
      <w:r>
        <w:t>Para opciones múltiples: listas separadas por comas o columnas auxiliares (por ejemplo, P3_ISO27001 = 1/0).</w:t>
      </w:r>
    </w:p>
    <w:p>
      <w:pPr>
        <w:pStyle w:val="Heading2"/>
        <w:keepNext/>
        <w:keepLines/>
      </w:pPr>
      <w:r>
        <w:rPr>
          <w:color w:val="0066CC"/>
        </w:rPr>
        <w:t>3. Hoja Puntuaciones</w:t>
      </w:r>
    </w:p>
    <w:p>
      <w:r>
        <w:t>Objetivo: traducir respuestas a puntos por pregunta.</w:t>
      </w:r>
    </w:p>
    <w:p>
      <w:pPr>
        <w:pStyle w:val="Heading3"/>
        <w:keepNext/>
        <w:keepLines/>
      </w:pPr>
      <w:r>
        <w:t>3.1. Tabla de puntuación por pregunta</w:t>
      </w:r>
    </w:p>
    <w:p>
      <w:r>
        <w:t>Ejemplo (solo para algunas preguntas):</w:t>
      </w:r>
    </w:p>
    <w:p>
      <w:pPr>
        <w:pStyle w:val="ListBullet"/>
        <w:keepLines w:val="1"/>
        <w:keepNext w:val="1"/>
        <w:widowControl w:val="1"/>
      </w:pPr>
      <w:r>
        <w:t>Columnas:</w:t>
      </w:r>
    </w:p>
    <w:p>
      <w:pPr>
        <w:pStyle w:val="ListBullet"/>
        <w:keepLines w:val="1"/>
        <w:keepNext w:val="1"/>
        <w:widowControl w:val="1"/>
      </w:pPr>
      <w:r>
        <w:t>Pregunta</w:t>
      </w:r>
    </w:p>
    <w:p>
      <w:pPr>
        <w:pStyle w:val="ListBullet"/>
        <w:keepLines w:val="1"/>
        <w:keepNext w:val="1"/>
        <w:widowControl w:val="1"/>
      </w:pPr>
      <w:r>
        <w:t>Codigo_Respuesta</w:t>
      </w:r>
    </w:p>
    <w:p>
      <w:pPr>
        <w:pStyle w:val="ListBullet"/>
        <w:keepLines w:val="1"/>
        <w:keepNext w:val="1"/>
        <w:widowControl w:val="1"/>
      </w:pPr>
      <w:r>
        <w:t>Descripcion</w:t>
      </w:r>
    </w:p>
    <w:p>
      <w:pPr>
        <w:pStyle w:val="ListBullet"/>
        <w:keepLines w:val="1"/>
        <w:widowControl w:val="1"/>
      </w:pPr>
      <w:r>
        <w:t>Puntos</w:t>
      </w:r>
    </w:p>
    <w:p>
      <w:r>
        <w:t>Ejemplo de filas:</w:t>
      </w:r>
    </w:p>
    <w:p>
      <w:pPr>
        <w:pStyle w:val="ListBullet"/>
        <w:keepLines w:val="1"/>
        <w:keepNext w:val="1"/>
        <w:widowControl w:val="1"/>
      </w:pPr>
      <w:r>
        <w:t>P1, 1, Aprobada y revisión anual, 4</w:t>
      </w:r>
    </w:p>
    <w:p>
      <w:pPr>
        <w:pStyle w:val="ListBullet"/>
        <w:keepLines w:val="1"/>
        <w:keepNext w:val="1"/>
        <w:widowControl w:val="1"/>
      </w:pPr>
      <w:r>
        <w:t>P1, 2, Aprobada sin revisión, 3</w:t>
      </w:r>
    </w:p>
    <w:p>
      <w:pPr>
        <w:pStyle w:val="ListBullet"/>
        <w:keepLines w:val="1"/>
        <w:keepNext w:val="1"/>
        <w:widowControl w:val="1"/>
      </w:pPr>
      <w:r>
        <w:t>P1, 3, Borrador informal, 2</w:t>
      </w:r>
    </w:p>
    <w:p>
      <w:pPr>
        <w:pStyle w:val="ListBullet"/>
        <w:keepLines w:val="1"/>
        <w:widowControl w:val="1"/>
      </w:pPr>
      <w:r>
        <w:t>P1, 4, No existe, 0</w:t>
      </w:r>
    </w:p>
    <w:p>
      <w:r>
        <w:t>Para cada pregunta se define una tabla similar.</w:t>
      </w:r>
    </w:p>
    <w:p>
      <w:pPr>
        <w:pStyle w:val="Heading3"/>
        <w:keepNext/>
        <w:keepLines/>
      </w:pPr>
      <w:r>
        <w:t>3.2. Funciones de búsqueda</w:t>
      </w:r>
    </w:p>
    <w:p>
      <w:r>
        <w:t xml:space="preserve">En la hoja </w:t>
      </w:r>
      <w:r>
        <w:rPr>
          <w:rFonts w:ascii="Courier New" w:hAnsi="Courier New"/>
          <w:sz w:val="18"/>
        </w:rPr>
        <w:t>Respuestas</w:t>
      </w:r>
      <w:r>
        <w:t xml:space="preserve">, para cada </w:t>
      </w:r>
      <w:r>
        <w:rPr>
          <w:rFonts w:ascii="Courier New" w:hAnsi="Courier New"/>
          <w:sz w:val="18"/>
        </w:rPr>
        <w:t>P1</w:t>
      </w:r>
      <w:r>
        <w:t xml:space="preserve">, </w:t>
      </w:r>
      <w:r>
        <w:rPr>
          <w:rFonts w:ascii="Courier New" w:hAnsi="Courier New"/>
          <w:sz w:val="18"/>
        </w:rPr>
        <w:t>P2</w:t>
      </w:r>
      <w:r>
        <w:t>, etc., se puede crear columnas auxiliares:</w:t>
      </w:r>
    </w:p>
    <w:p>
      <w:pPr>
        <w:pStyle w:val="ListBullet"/>
        <w:keepLines w:val="1"/>
        <w:widowControl w:val="1"/>
      </w:pPr>
      <w:r>
        <w:t>P1_Puntos, P2_Puntos, etc.</w:t>
      </w:r>
    </w:p>
    <w:p>
      <w:r>
        <w:t>Usando fórmulas tipo:</w:t>
      </w:r>
    </w:p>
    <w:p>
      <w:pPr>
        <w:pStyle w:val="ListBullet"/>
        <w:keepLines w:val="1"/>
        <w:widowControl w:val="1"/>
      </w:pPr>
      <w:r>
        <w:t>=BUSCARV(P1;Tabla_P1;Col_Puntos;FALSO)</w:t>
      </w:r>
    </w:p>
    <w:p>
      <w:r>
        <w:t>O bien, si se usa una tabla única:</w:t>
      </w:r>
    </w:p>
    <w:p>
      <w:pPr>
        <w:pStyle w:val="ListBullet"/>
        <w:keepLines w:val="1"/>
        <w:widowControl w:val="1"/>
      </w:pPr>
      <w:r>
        <w:t>=INDICE(Puntuaciones!$D:$D;COINCIDIR(1;(Puntuaciones!$A:$A="P1")*(Puntuaciones!$B:$B=P1);0))</w:t>
      </w:r>
    </w:p>
    <w:p>
      <w:r>
        <w:t xml:space="preserve">(ajustando rangos y usando fórmulas matriciales o funciones modernas como </w:t>
      </w:r>
      <w:r>
        <w:rPr>
          <w:rFonts w:ascii="Courier New" w:hAnsi="Courier New"/>
          <w:sz w:val="18"/>
        </w:rPr>
        <w:t>XLOOKUP</w:t>
      </w:r>
      <w:r>
        <w:t>).</w:t>
      </w:r>
    </w:p>
    <w:p>
      <w:pPr>
        <w:pStyle w:val="Heading2"/>
        <w:keepNext/>
        <w:keepLines/>
      </w:pPr>
      <w:r>
        <w:rPr>
          <w:color w:val="0066CC"/>
        </w:rPr>
        <w:t>4. Hoja IGM</w:t>
      </w:r>
    </w:p>
    <w:p>
      <w:pPr>
        <w:pStyle w:val="Heading3"/>
        <w:keepNext/>
        <w:keepLines/>
      </w:pPr>
      <w:r>
        <w:t>4.1. Asignación de preguntas a bloques</w:t>
      </w:r>
    </w:p>
    <w:p>
      <w:r>
        <w:t xml:space="preserve">En la hoja </w:t>
      </w:r>
      <w:r>
        <w:rPr>
          <w:rFonts w:ascii="Courier New" w:hAnsi="Courier New"/>
          <w:sz w:val="18"/>
        </w:rPr>
        <w:t>Parametros</w:t>
      </w:r>
      <w:r>
        <w:t>, definir:</w:t>
      </w:r>
    </w:p>
    <w:p>
      <w:pPr>
        <w:pStyle w:val="ListBullet"/>
        <w:keepLines w:val="1"/>
        <w:keepNext w:val="1"/>
        <w:widowControl w:val="1"/>
      </w:pPr>
      <w:r>
        <w:t>Bloque GOV: P1, P2, P3, P4.</w:t>
      </w:r>
    </w:p>
    <w:p>
      <w:pPr>
        <w:pStyle w:val="ListBullet"/>
        <w:keepLines w:val="1"/>
        <w:keepNext w:val="1"/>
        <w:widowControl w:val="1"/>
      </w:pPr>
      <w:r>
        <w:t>Bloque INV: P5, P6, P7, P8.</w:t>
      </w:r>
    </w:p>
    <w:p>
      <w:pPr>
        <w:pStyle w:val="ListBullet"/>
        <w:keepLines w:val="1"/>
        <w:keepNext w:val="1"/>
        <w:widowControl w:val="1"/>
      </w:pPr>
      <w:r>
        <w:t>Bloque THR: P9, P10, P11, P12, P13, P14, P15.</w:t>
      </w:r>
    </w:p>
    <w:p>
      <w:pPr>
        <w:pStyle w:val="ListBullet"/>
        <w:keepLines w:val="1"/>
        <w:keepNext w:val="1"/>
        <w:widowControl w:val="1"/>
      </w:pPr>
      <w:r>
        <w:t>Bloque MET: P16, P17, P18, P19, P20.</w:t>
      </w:r>
    </w:p>
    <w:p>
      <w:pPr>
        <w:pStyle w:val="ListBullet"/>
        <w:keepLines w:val="1"/>
        <w:keepNext w:val="1"/>
        <w:widowControl w:val="1"/>
      </w:pPr>
      <w:r>
        <w:t>Bloque VUL: P21, P22, P23, P24, P25.</w:t>
      </w:r>
    </w:p>
    <w:p>
      <w:pPr>
        <w:pStyle w:val="ListBullet"/>
        <w:keepLines w:val="1"/>
        <w:keepNext w:val="1"/>
        <w:widowControl w:val="1"/>
      </w:pPr>
      <w:r>
        <w:t>Bloque RES: P26, P27, P28, P29.</w:t>
      </w:r>
    </w:p>
    <w:p>
      <w:pPr>
        <w:pStyle w:val="ListBullet"/>
        <w:keepLines w:val="1"/>
        <w:keepNext w:val="1"/>
        <w:widowControl w:val="1"/>
      </w:pPr>
      <w:r>
        <w:t>Bloque TAL: P30, P31, P32, P33.</w:t>
      </w:r>
    </w:p>
    <w:p>
      <w:pPr>
        <w:pStyle w:val="ListBullet"/>
        <w:keepLines w:val="1"/>
        <w:widowControl w:val="1"/>
      </w:pPr>
      <w:r>
        <w:t>(P34, P35, P36 pueden utilizarse para análisis cualitativo o ponderaciones de prioridades, si se desea incorporarlas).</w:t>
      </w:r>
    </w:p>
    <w:p>
      <w:pPr>
        <w:pStyle w:val="Heading3"/>
        <w:keepNext/>
        <w:keepLines/>
      </w:pPr>
      <w:r>
        <w:t>4.2. Cálculo de puntuación por bloque</w:t>
      </w:r>
    </w:p>
    <w:p>
      <w:r>
        <w:t xml:space="preserve">En </w:t>
      </w:r>
      <w:r>
        <w:rPr>
          <w:rFonts w:ascii="Courier New" w:hAnsi="Courier New"/>
          <w:sz w:val="18"/>
        </w:rPr>
        <w:t>IGM</w:t>
      </w:r>
      <w:r>
        <w:t>, por organización:</w:t>
      </w:r>
    </w:p>
    <w:p>
      <w:pPr>
        <w:pStyle w:val="ListBullet"/>
        <w:keepLines w:val="1"/>
        <w:keepNext w:val="1"/>
        <w:widowControl w:val="1"/>
      </w:pPr>
      <w:r>
        <w:t>Columnas:</w:t>
      </w:r>
    </w:p>
    <w:p>
      <w:pPr>
        <w:pStyle w:val="ListBullet"/>
        <w:keepLines w:val="1"/>
        <w:keepNext w:val="1"/>
        <w:widowControl w:val="1"/>
      </w:pPr>
      <w:r>
        <w:t>ID_Org</w:t>
      </w:r>
    </w:p>
    <w:p>
      <w:pPr>
        <w:pStyle w:val="ListBullet"/>
        <w:keepLines w:val="1"/>
        <w:keepNext w:val="1"/>
        <w:widowControl w:val="1"/>
      </w:pPr>
      <w:r>
        <w:t>GOV_Puntos</w:t>
      </w:r>
    </w:p>
    <w:p>
      <w:pPr>
        <w:pStyle w:val="ListBullet"/>
        <w:keepLines w:val="1"/>
        <w:keepNext w:val="1"/>
        <w:widowControl w:val="1"/>
      </w:pPr>
      <w:r>
        <w:t>INV_Puntos</w:t>
      </w:r>
    </w:p>
    <w:p>
      <w:pPr>
        <w:pStyle w:val="ListBullet"/>
        <w:keepLines w:val="1"/>
        <w:keepNext w:val="1"/>
        <w:widowControl w:val="1"/>
      </w:pPr>
      <w:r>
        <w:t>THR_Puntos</w:t>
      </w:r>
    </w:p>
    <w:p>
      <w:pPr>
        <w:pStyle w:val="ListBullet"/>
        <w:keepLines w:val="1"/>
        <w:keepNext w:val="1"/>
        <w:widowControl w:val="1"/>
      </w:pPr>
      <w:r>
        <w:t>MET_Puntos</w:t>
      </w:r>
    </w:p>
    <w:p>
      <w:pPr>
        <w:pStyle w:val="ListBullet"/>
        <w:keepLines w:val="1"/>
        <w:keepNext w:val="1"/>
        <w:widowControl w:val="1"/>
      </w:pPr>
      <w:r>
        <w:t>VUL_Puntos</w:t>
      </w:r>
    </w:p>
    <w:p>
      <w:pPr>
        <w:pStyle w:val="ListBullet"/>
        <w:keepLines w:val="1"/>
        <w:keepNext w:val="1"/>
        <w:widowControl w:val="1"/>
      </w:pPr>
      <w:r>
        <w:t>RES_Puntos</w:t>
      </w:r>
    </w:p>
    <w:p>
      <w:pPr>
        <w:pStyle w:val="ListBullet"/>
        <w:keepLines w:val="1"/>
        <w:keepNext w:val="1"/>
        <w:widowControl w:val="1"/>
      </w:pPr>
      <w:r>
        <w:t>TAL_Puntos</w:t>
      </w:r>
    </w:p>
    <w:p>
      <w:pPr>
        <w:pStyle w:val="ListBullet"/>
        <w:keepLines w:val="1"/>
        <w:widowControl w:val="1"/>
      </w:pPr>
      <w:r>
        <w:t>IGM</w:t>
      </w:r>
    </w:p>
    <w:p>
      <w:r>
        <w:t xml:space="preserve">Ejemplo de fórmula para </w:t>
      </w:r>
      <w:r>
        <w:rPr>
          <w:rFonts w:ascii="Courier New" w:hAnsi="Courier New"/>
          <w:sz w:val="18"/>
        </w:rPr>
        <w:t>GOV_Puntos</w:t>
      </w:r>
      <w:r>
        <w:t>:</w:t>
      </w:r>
    </w:p>
    <w:p>
      <w:pPr>
        <w:pStyle w:val="ListBullet"/>
        <w:keepLines w:val="1"/>
        <w:widowControl w:val="1"/>
      </w:pPr>
      <w:r>
        <w:t>=SUMA(Respuestas!P1_Puntos;Respuestas!P2_Puntos;Respuestas!P3_Puntos;Respuestas!P4_Puntos)</w:t>
      </w:r>
    </w:p>
    <w:p>
      <w:r>
        <w:t>Para normalizar:</w:t>
      </w:r>
    </w:p>
    <w:p>
      <w:pPr>
        <w:pStyle w:val="ListBullet"/>
        <w:keepLines w:val="1"/>
        <w:widowControl w:val="1"/>
      </w:pPr>
      <w:r>
        <w:t>GOV_Normalizado = GOV_Puntos / GOV_Maximo * 100</w:t>
      </w:r>
    </w:p>
    <w:p>
      <w:r>
        <w:t xml:space="preserve">Donde </w:t>
      </w:r>
      <w:r>
        <w:rPr>
          <w:rFonts w:ascii="Courier New" w:hAnsi="Courier New"/>
          <w:sz w:val="18"/>
        </w:rPr>
        <w:t>GOV_Maximo</w:t>
      </w:r>
      <w:r>
        <w:t xml:space="preserve"> es la suma de las puntuaciones máximas de P1–P4 (definida en </w:t>
      </w:r>
      <w:r>
        <w:rPr>
          <w:rFonts w:ascii="Courier New" w:hAnsi="Courier New"/>
          <w:sz w:val="18"/>
        </w:rPr>
        <w:t>Parametros</w:t>
      </w:r>
      <w:r>
        <w:t>).</w:t>
      </w:r>
    </w:p>
    <w:p>
      <w:pPr>
        <w:pStyle w:val="Heading3"/>
        <w:keepNext/>
        <w:keepLines/>
      </w:pPr>
      <w:r>
        <w:t>4.3. Cálculo del IGM</w:t>
      </w:r>
    </w:p>
    <w:p>
      <w:r>
        <w:t xml:space="preserve">Suponiendo pesos en </w:t>
      </w:r>
      <w:r>
        <w:rPr>
          <w:rFonts w:ascii="Courier New" w:hAnsi="Courier New"/>
          <w:sz w:val="18"/>
        </w:rPr>
        <w:t>Parametros</w:t>
      </w:r>
      <w:r>
        <w:t>:</w:t>
      </w:r>
    </w:p>
    <w:p>
      <w:pPr>
        <w:pStyle w:val="ListBullet"/>
        <w:keepLines w:val="1"/>
        <w:widowControl w:val="1"/>
      </w:pPr>
      <w:r>
        <w:t>w_GOV, w_INV, w_THR, w_MET, w_VUL, w_RES, w_TAL.</w:t>
      </w:r>
    </w:p>
    <w:p>
      <w:r>
        <w:t>Fórmula:</w:t>
      </w:r>
    </w:p>
    <w:p>
      <w:pPr>
        <w:pStyle w:val="ListBullet"/>
        <w:keepLines w:val="1"/>
        <w:widowControl w:val="1"/>
      </w:pPr>
      <w:r>
        <w:t>IGM = w_GOV*GOV_Normalizado + w_INV*INV_Normalizado + ... + w_THR*THR_Normalizado + ...</w:t>
      </w:r>
    </w:p>
    <w:p>
      <w:r>
        <w:t>Los pesos deben sumar 1 (o 100 %).</w:t>
      </w:r>
    </w:p>
    <w:p>
      <w:pPr>
        <w:pStyle w:val="Heading2"/>
        <w:keepNext/>
        <w:keepLines/>
      </w:pPr>
      <w:r>
        <w:rPr>
          <w:color w:val="0066CC"/>
        </w:rPr>
        <w:t>5. Hoja ROI</w:t>
      </w:r>
    </w:p>
    <w:p>
      <w:pPr>
        <w:pStyle w:val="Heading3"/>
        <w:keepNext/>
        <w:keepLines/>
      </w:pPr>
      <w:r>
        <w:t>5.1. Datos requeridos</w:t>
      </w:r>
    </w:p>
    <w:p>
      <w:r>
        <w:t xml:space="preserve">Añadir en </w:t>
      </w:r>
      <w:r>
        <w:rPr>
          <w:rFonts w:ascii="Courier New" w:hAnsi="Courier New"/>
          <w:sz w:val="18"/>
        </w:rPr>
        <w:t>Respuestas</w:t>
      </w:r>
      <w:r>
        <w:t xml:space="preserve"> o en una hoja especial:</w:t>
      </w:r>
    </w:p>
    <w:p>
      <w:pPr>
        <w:pStyle w:val="ListBullet"/>
        <w:keepLines w:val="1"/>
        <w:keepNext w:val="1"/>
        <w:widowControl w:val="1"/>
      </w:pPr>
      <w:r>
        <w:t>Coste_Tecnologias (anual).</w:t>
      </w:r>
    </w:p>
    <w:p>
      <w:pPr>
        <w:pStyle w:val="ListBullet"/>
        <w:keepLines w:val="1"/>
        <w:keepNext w:val="1"/>
        <w:widowControl w:val="1"/>
      </w:pPr>
      <w:r>
        <w:t>Coste_Personal_Ciber.</w:t>
      </w:r>
    </w:p>
    <w:p>
      <w:pPr>
        <w:pStyle w:val="ListBullet"/>
        <w:keepLines w:val="1"/>
        <w:keepNext w:val="1"/>
        <w:widowControl w:val="1"/>
      </w:pPr>
      <w:r>
        <w:t>Coste_Servicios_Externos.</w:t>
      </w:r>
    </w:p>
    <w:p>
      <w:pPr>
        <w:pStyle w:val="ListBullet"/>
        <w:keepLines w:val="1"/>
        <w:keepNext w:val="1"/>
        <w:widowControl w:val="1"/>
      </w:pPr>
      <w:r>
        <w:t>Coste_Formacion.</w:t>
      </w:r>
    </w:p>
    <w:p>
      <w:pPr>
        <w:pStyle w:val="ListBullet"/>
        <w:keepLines w:val="1"/>
        <w:keepNext w:val="1"/>
        <w:widowControl w:val="1"/>
      </w:pPr>
      <w:r>
        <w:t>Perdidas_Incidentes_Pre (estimadas antes de inversiones).</w:t>
      </w:r>
    </w:p>
    <w:p>
      <w:pPr>
        <w:pStyle w:val="ListBullet"/>
        <w:keepLines w:val="1"/>
        <w:keepNext w:val="1"/>
        <w:widowControl w:val="1"/>
      </w:pPr>
      <w:r>
        <w:t>Perdidas_Incidentes_Post (estimadas después).</w:t>
      </w:r>
    </w:p>
    <w:p>
      <w:pPr>
        <w:pStyle w:val="ListBullet"/>
        <w:keepLines w:val="1"/>
        <w:keepNext w:val="1"/>
        <w:widowControl w:val="1"/>
      </w:pPr>
      <w:r>
        <w:t>Multas_Sanciones_Evitadas (estimación).</w:t>
      </w:r>
    </w:p>
    <w:p>
      <w:pPr>
        <w:pStyle w:val="ListBullet"/>
        <w:keepLines w:val="1"/>
        <w:widowControl w:val="1"/>
      </w:pPr>
      <w:r>
        <w:t>Otros_Beneficios (por ejemplo, reducción de interrupciones).</w:t>
      </w:r>
    </w:p>
    <w:p>
      <w:pPr>
        <w:pStyle w:val="Heading3"/>
        <w:keepNext/>
        <w:keepLines/>
      </w:pPr>
      <w:r>
        <w:t>5.2. Cálculo</w:t>
      </w:r>
    </w:p>
    <w:p>
      <w:r>
        <w:t xml:space="preserve">En </w:t>
      </w:r>
      <w:r>
        <w:rPr>
          <w:rFonts w:ascii="Courier New" w:hAnsi="Courier New"/>
          <w:sz w:val="18"/>
        </w:rPr>
        <w:t>ROI</w:t>
      </w:r>
      <w:r>
        <w:t>, por organización:</w:t>
      </w:r>
    </w:p>
    <w:p>
      <w:pPr>
        <w:pStyle w:val="ListBullet"/>
        <w:keepLines w:val="1"/>
        <w:keepNext w:val="1"/>
        <w:widowControl w:val="1"/>
      </w:pPr>
      <w:r>
        <w:t>Coste_Total = Coste_Tecnologias + Coste_Personal_Ciber + Coste_Servicios_Externos + Coste_Formacion</w:t>
      </w:r>
    </w:p>
    <w:p>
      <w:pPr>
        <w:pStyle w:val="ListBullet"/>
        <w:keepLines w:val="1"/>
        <w:keepNext w:val="1"/>
        <w:widowControl w:val="1"/>
      </w:pPr>
      <w:r>
        <w:t>Beneficio_Estimado = (Perdidas_Incidentes_Pre – Perdidas_Incidentes_Post) + Multas_Sanciones_Evitadas + Otros_Beneficios</w:t>
      </w:r>
    </w:p>
    <w:p>
      <w:pPr>
        <w:pStyle w:val="ListBullet"/>
        <w:keepLines w:val="1"/>
        <w:widowControl w:val="1"/>
      </w:pPr>
      <w:r>
        <w:t>ROI = (Beneficio_Estimado – Coste_Total) / Coste_Total</w:t>
      </w:r>
    </w:p>
    <w:p>
      <w:r>
        <w:t>Formato como porcentaje.</w:t>
      </w:r>
    </w:p>
    <w:p>
      <w:pPr>
        <w:pStyle w:val="Heading3"/>
        <w:keepNext/>
        <w:keepLines/>
      </w:pPr>
      <w:r>
        <w:t>5.3. Relación con el IGM</w:t>
      </w:r>
    </w:p>
    <w:p>
      <w:r>
        <w:t>Se puede crear una tabla o gráfico que muestre:</w:t>
      </w:r>
    </w:p>
    <w:p>
      <w:pPr>
        <w:pStyle w:val="ListBullet"/>
        <w:keepLines w:val="1"/>
        <w:keepNext w:val="1"/>
        <w:widowControl w:val="1"/>
      </w:pPr>
      <w:r>
        <w:t>IGM (eje X)</w:t>
      </w:r>
    </w:p>
    <w:p>
      <w:pPr>
        <w:pStyle w:val="ListBullet"/>
        <w:keepLines w:val="1"/>
        <w:widowControl w:val="1"/>
      </w:pPr>
      <w:r>
        <w:t>ROI (eje Y)</w:t>
      </w:r>
    </w:p>
    <w:p>
      <w:r>
        <w:t>Para analizar tendencias: por ejemplo, si a partir de cierto nivel de madurez los retornos marginales disminuyen, o si existe una “zona óptima”.</w:t>
      </w:r>
    </w:p>
    <w:p>
      <w:pPr>
        <w:pStyle w:val="Heading2"/>
        <w:keepNext/>
        <w:keepLines/>
      </w:pPr>
      <w:r>
        <w:rPr>
          <w:color w:val="0066CC"/>
        </w:rPr>
        <w:t>6. Hoja Parametros</w:t>
      </w:r>
    </w:p>
    <w:p>
      <w:r>
        <w:t>Sugerencias:</w:t>
      </w:r>
    </w:p>
    <w:p>
      <w:pPr>
        <w:pStyle w:val="ListBullet"/>
        <w:keepLines w:val="1"/>
        <w:keepNext w:val="1"/>
        <w:widowControl w:val="1"/>
      </w:pPr>
      <w:r>
        <w:t>Tabla con:</w:t>
      </w:r>
    </w:p>
    <w:p>
      <w:pPr>
        <w:pStyle w:val="ListBullet"/>
        <w:keepLines w:val="1"/>
        <w:keepNext w:val="1"/>
        <w:widowControl w:val="1"/>
      </w:pPr>
      <w:r>
        <w:t>Pregunta, Puntuación máxima, Bloque, Peso relativo.</w:t>
      </w:r>
    </w:p>
    <w:p>
      <w:pPr>
        <w:pStyle w:val="ListBullet"/>
        <w:keepLines w:val="1"/>
        <w:keepNext w:val="1"/>
        <w:widowControl w:val="1"/>
      </w:pPr>
      <w:r>
        <w:t>Tabla con:</w:t>
      </w:r>
    </w:p>
    <w:p>
      <w:pPr>
        <w:pStyle w:val="ListBullet"/>
        <w:keepLines w:val="1"/>
        <w:keepNext w:val="1"/>
        <w:widowControl w:val="1"/>
      </w:pPr>
      <w:r>
        <w:t>Bloque, Peso en IGM (por ejemplo, GOV 0,15; THR 0,20; etc.).</w:t>
      </w:r>
    </w:p>
    <w:p>
      <w:pPr>
        <w:pStyle w:val="ListBullet"/>
        <w:keepLines w:val="1"/>
        <w:keepNext w:val="1"/>
        <w:widowControl w:val="1"/>
      </w:pPr>
      <w:r>
        <w:t>Opcional:</w:t>
      </w:r>
    </w:p>
    <w:p>
      <w:pPr>
        <w:pStyle w:val="ListBullet"/>
        <w:keepLines w:val="1"/>
        <w:widowControl w:val="1"/>
      </w:pPr>
      <w:r>
        <w:t>Valores de referencia por sector (para análisis de desviación).</w:t>
      </w:r>
    </w:p>
    <w:p>
      <w:pPr>
        <w:pStyle w:val="Heading2"/>
        <w:keepNext/>
        <w:keepLines/>
      </w:pPr>
      <w:r>
        <w:rPr>
          <w:color w:val="0066CC"/>
        </w:rPr>
        <w:t>7. Visualizaciones recomendadas</w:t>
      </w:r>
    </w:p>
    <w:p>
      <w:pPr>
        <w:pStyle w:val="ListBullet"/>
        <w:keepLines w:val="1"/>
        <w:keepNext w:val="1"/>
        <w:widowControl w:val="1"/>
      </w:pPr>
      <w:r>
        <w:t>Gráfico de radar (o araña) por bloques de madurez.</w:t>
      </w:r>
    </w:p>
    <w:p>
      <w:pPr>
        <w:pStyle w:val="ListBullet"/>
        <w:keepLines w:val="1"/>
        <w:keepNext w:val="1"/>
        <w:widowControl w:val="1"/>
      </w:pPr>
      <w:r>
        <w:t>Histogramas de IGM por sector.</w:t>
      </w:r>
    </w:p>
    <w:p>
      <w:pPr>
        <w:pStyle w:val="ListBullet"/>
        <w:keepLines w:val="1"/>
        <w:keepNext w:val="1"/>
        <w:widowControl w:val="1"/>
      </w:pPr>
      <w:r>
        <w:t>Gráficos de dispersión IGM vs. ROI.</w:t>
      </w:r>
    </w:p>
    <w:p>
      <w:pPr>
        <w:pStyle w:val="ListBullet"/>
        <w:keepLines w:val="1"/>
        <w:widowControl w:val="1"/>
      </w:pPr>
      <w:r>
        <w:t>Boxplots de IGM por tamaño de organización.</w:t>
      </w:r>
    </w:p>
    <w:p>
      <w:r>
        <w:t>Todo ello para hacer que las conclusiones sean tan visibles que hasta el último escéptico en la sala de dirección vea las diferencias.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