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VAST Nacional (España)</w:t>
      </w:r>
    </w:p>
    <w:p>
      <w:r>
        <w:t>Bienvenido/a al kit de encuesta VAST. Si ha llegado hasta aquí, es probable que le hayan convencido (o que usted haya convencido a otros) de que la intuición, por sí sola, no basta para gestionar ciber riesgos.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componentes (formato Markdown, listos para adaptar):</w:t>
      </w:r>
    </w:p>
    <w:p>
      <w:pPr>
        <w:pStyle w:val="ListNumber"/>
        <w:keepLines w:val="1"/>
        <w:keepNext w:val="1"/>
        <w:widowControl w:val="1"/>
      </w:pPr>
      <w:r>
        <w:t>encuesta_vast_integral.md</w:t>
        <w:br/>
        <w:t xml:space="preserve">   Modelo de encuesta completo para responsables de organizaciones.</w:t>
      </w:r>
    </w:p>
    <w:p>
      <w:pPr>
        <w:pStyle w:val="ListNumber"/>
        <w:keepLines w:val="1"/>
        <w:keepNext w:val="1"/>
        <w:widowControl w:val="1"/>
      </w:pPr>
      <w:r>
        <w:t>guia_metodologica_vast.md</w:t>
        <w:br/>
        <w:t xml:space="preserve">   Explica objetivos, población, diseño, cálculo del IGM y ROI.</w:t>
      </w:r>
    </w:p>
    <w:p>
      <w:pPr>
        <w:pStyle w:val="ListNumber"/>
        <w:keepLines w:val="1"/>
        <w:keepNext w:val="1"/>
        <w:widowControl w:val="1"/>
      </w:pPr>
      <w:r>
        <w:t>narrativa_vast.md</w:t>
        <w:br/>
        <w:t xml:space="preserve">   Relato explicativo para acompañar la encuesta y los resultados.</w:t>
      </w:r>
    </w:p>
    <w:p>
      <w:pPr>
        <w:pStyle w:val="ListNumber"/>
        <w:keepLines w:val="1"/>
        <w:keepNext w:val="1"/>
        <w:widowControl w:val="1"/>
      </w:pPr>
      <w:r>
        <w:t>mapeo_preguntas_normativa.md</w:t>
        <w:br/>
        <w:t xml:space="preserve">   Tabla que relaciona cada pregunta con requisitos normativos (NIS2, DORA, ENS, ISO, NIST CSF).</w:t>
      </w:r>
    </w:p>
    <w:p>
      <w:pPr>
        <w:pStyle w:val="ListNumber"/>
        <w:keepLines w:val="1"/>
        <w:keepNext w:val="1"/>
        <w:widowControl w:val="1"/>
      </w:pPr>
      <w:r>
        <w:t>plantilla_excel_igm_roi.md</w:t>
        <w:br/>
        <w:t xml:space="preserve">   Instrucciones para crear una hoja de cálculo con IGM y ROI.</w:t>
      </w:r>
    </w:p>
    <w:p>
      <w:pPr>
        <w:pStyle w:val="ListNumber"/>
        <w:keepLines w:val="1"/>
        <w:widowControl w:val="1"/>
      </w:pPr>
      <w:r>
        <w:t>plantilla_reporte_ejecutivo_ppt.md</w:t>
        <w:br/>
        <w:t xml:space="preserve">   Guion para preparar una presentación de resultados a nivel ejecutivo.</w:t>
      </w:r>
    </w:p>
    <w:p>
      <w:pPr>
        <w:pStyle w:val="Heading2"/>
        <w:keepNext/>
        <w:keepLines/>
      </w:pPr>
      <w:r>
        <w:rPr>
          <w:color w:val="0066CC"/>
        </w:rPr>
        <w:t>2. Uso recomendado</w:t>
      </w:r>
    </w:p>
    <w:p>
      <w:pPr>
        <w:pStyle w:val="ListNumber"/>
        <w:keepLines w:val="1"/>
        <w:keepNext w:val="1"/>
        <w:widowControl w:val="1"/>
      </w:pPr>
      <w:r>
        <w:t>Adaptar la encuesta (encuesta_vast_integral.md) al contexto sectorial y de idioma interno (si procede).</w:t>
      </w:r>
    </w:p>
    <w:p>
      <w:pPr>
        <w:pStyle w:val="ListNumber"/>
        <w:keepLines w:val="1"/>
        <w:keepNext w:val="1"/>
        <w:widowControl w:val="1"/>
      </w:pPr>
      <w:r>
        <w:t>Validar la guía metodológica (guia_metodologica_vast.md) con el equipo de riesgo, cumplimiento y/o reguladores implicados.</w:t>
      </w:r>
    </w:p>
    <w:p>
      <w:pPr>
        <w:pStyle w:val="ListNumber"/>
        <w:keepLines w:val="1"/>
        <w:keepNext w:val="1"/>
        <w:widowControl w:val="1"/>
      </w:pPr>
      <w:r>
        <w:t>Configurar el Excel siguiendo plantilla_excel_igm_roi.md y probarlo con un conjunto de respuestas de prueba.</w:t>
      </w:r>
    </w:p>
    <w:p>
      <w:pPr>
        <w:pStyle w:val="ListNumber"/>
        <w:keepLines w:val="1"/>
        <w:keepNext w:val="1"/>
        <w:widowControl w:val="1"/>
      </w:pPr>
      <w:r>
        <w:t>Pilotar la encuesta con algunas organizaciones para verificar comprensión, tiempos y relevancia de preguntas.</w:t>
      </w:r>
    </w:p>
    <w:p>
      <w:pPr>
        <w:pStyle w:val="ListNumber"/>
        <w:keepLines w:val="1"/>
        <w:keepNext w:val="1"/>
        <w:widowControl w:val="1"/>
      </w:pPr>
      <w:r>
        <w:t>Definir un calendario de despliegue de la encuesta y de reportes de resultados (anual, bienal, etc.).</w:t>
      </w:r>
    </w:p>
    <w:p>
      <w:pPr>
        <w:pStyle w:val="ListNumber"/>
        <w:keepLines w:val="1"/>
        <w:widowControl w:val="1"/>
      </w:pPr>
      <w:r>
        <w:t>Preparar el relato (narrativa_vast.md) para acompañar tanto la invitación a participar como la presentación de conclusiones.</w:t>
      </w:r>
    </w:p>
    <w:p>
      <w:pPr>
        <w:pStyle w:val="Heading2"/>
        <w:keepNext/>
        <w:keepLines/>
      </w:pPr>
      <w:r>
        <w:rPr>
          <w:color w:val="0066CC"/>
        </w:rPr>
        <w:t>3. Personalización</w:t>
      </w:r>
    </w:p>
    <w:p>
      <w:r>
        <w:t>El kit está pensado como base. Se recomienda:</w:t>
      </w:r>
    </w:p>
    <w:p>
      <w:pPr>
        <w:pStyle w:val="ListBullet"/>
        <w:keepLines w:val="1"/>
        <w:keepNext w:val="1"/>
        <w:widowControl w:val="1"/>
      </w:pPr>
      <w:r>
        <w:t>Ajustar el lenguaje a la cultura de su organización o sector (manteniendo, si se puede, el tono humano).</w:t>
      </w:r>
    </w:p>
    <w:p>
      <w:pPr>
        <w:pStyle w:val="ListBullet"/>
        <w:keepLines w:val="1"/>
        <w:keepNext w:val="1"/>
        <w:widowControl w:val="1"/>
      </w:pPr>
      <w:r>
        <w:t>Añadir o quitar preguntas según el marco normativo aplicable.</w:t>
      </w:r>
    </w:p>
    <w:p>
      <w:pPr>
        <w:pStyle w:val="ListBullet"/>
        <w:keepLines w:val="1"/>
        <w:keepNext w:val="1"/>
        <w:widowControl w:val="1"/>
      </w:pPr>
      <w:r>
        <w:t>Ajustar la ponderación de bloques del IGM (bloques THR, MET, RES pueden tener mayor peso en contextos muy operativos).</w:t>
      </w:r>
    </w:p>
    <w:p>
      <w:pPr>
        <w:pStyle w:val="ListBullet"/>
        <w:keepLines w:val="1"/>
        <w:widowControl w:val="1"/>
      </w:pPr>
      <w:r>
        <w:t>Afinar el cálculo de ROI con sus propios datos contables y de pérdidas históricas.</w:t>
      </w:r>
    </w:p>
    <w:p>
      <w:pPr>
        <w:pStyle w:val="Heading2"/>
        <w:keepNext/>
        <w:keepLines/>
      </w:pPr>
      <w:r>
        <w:rPr>
          <w:color w:val="0066CC"/>
        </w:rPr>
        <w:t>4. Consideraciones sobre confidencialidad y ética</w:t>
      </w:r>
    </w:p>
    <w:p>
      <w:pPr>
        <w:pStyle w:val="ListBullet"/>
        <w:keepLines w:val="1"/>
        <w:keepNext w:val="1"/>
        <w:widowControl w:val="1"/>
      </w:pPr>
      <w:r>
        <w:t>Defina claramente quién verá los resultados individuales y quién verá solo agregados.</w:t>
      </w:r>
    </w:p>
    <w:p>
      <w:pPr>
        <w:pStyle w:val="ListBullet"/>
        <w:keepLines w:val="1"/>
        <w:keepNext w:val="1"/>
        <w:widowControl w:val="1"/>
      </w:pPr>
      <w:r>
        <w:t>Evite utilizar la encuesta como herramienta de sanción interna; úsela como base de diálogo y mejora.</w:t>
      </w:r>
    </w:p>
    <w:p>
      <w:pPr>
        <w:pStyle w:val="ListBullet"/>
        <w:keepLines w:val="1"/>
        <w:widowControl w:val="1"/>
      </w:pPr>
      <w:r>
        <w:t>Explique con transparencia a las organizaciones participantes qué uso se dará a sus datos y cómo se anonimizarán.</w:t>
      </w:r>
    </w:p>
    <w:p>
      <w:pPr>
        <w:pStyle w:val="Heading2"/>
        <w:keepNext/>
        <w:keepLines/>
      </w:pPr>
      <w:r>
        <w:rPr>
          <w:color w:val="0066CC"/>
        </w:rPr>
        <w:t>5. Próximos pasos sugeridos</w:t>
      </w:r>
    </w:p>
    <w:p>
      <w:r>
        <w:t>Una vez realizado el primer ciclo de encuesta:</w:t>
      </w:r>
    </w:p>
    <w:p>
      <w:pPr>
        <w:pStyle w:val="ListNumber"/>
        <w:keepLines w:val="1"/>
        <w:keepNext w:val="1"/>
        <w:widowControl w:val="1"/>
      </w:pPr>
      <w:r>
        <w:t>Analizar los resultados agregados y por sector.</w:t>
      </w:r>
    </w:p>
    <w:p>
      <w:pPr>
        <w:pStyle w:val="ListNumber"/>
        <w:keepLines w:val="1"/>
        <w:keepNext w:val="1"/>
        <w:widowControl w:val="1"/>
      </w:pPr>
      <w:r>
        <w:t>Compartir con las organizaciones participantes un informe comparativo (benchmark) con recomendaciones.</w:t>
      </w:r>
    </w:p>
    <w:p>
      <w:pPr>
        <w:pStyle w:val="ListNumber"/>
        <w:keepLines w:val="1"/>
        <w:keepNext w:val="1"/>
        <w:widowControl w:val="1"/>
      </w:pPr>
      <w:r>
        <w:t>Usar las conclusiones para priorizar inversiones a nivel organizativo y, si aplica, nacional.</w:t>
      </w:r>
    </w:p>
    <w:p>
      <w:pPr>
        <w:pStyle w:val="ListNumber"/>
        <w:keepLines w:val="1"/>
        <w:widowControl w:val="1"/>
      </w:pPr>
      <w:r>
        <w:t>Planificar el siguiente ciclo (por ejemplo, al año siguiente) para observar tendencias.</w:t>
      </w:r>
    </w:p>
    <w:p>
      <w:pPr>
        <w:pStyle w:val="Heading2"/>
        <w:keepNext/>
        <w:keepLines/>
      </w:pPr>
      <w:r>
        <w:rPr>
          <w:color w:val="0066CC"/>
        </w:rPr>
        <w:t>6. Contacto y mantenimiento</w:t>
      </w:r>
    </w:p>
    <w:p>
      <w:r>
        <w:t>Idealmente, este kit debería tener:</w:t>
      </w:r>
    </w:p>
    <w:p>
      <w:pPr>
        <w:pStyle w:val="ListBullet"/>
        <w:keepLines w:val="1"/>
        <w:keepNext w:val="1"/>
        <w:widowControl w:val="1"/>
      </w:pPr>
      <w:r>
        <w:t>Un “propietario” institucional (por ejemplo, un CERT nacional, una asociación sectorial o un regulador).</w:t>
      </w:r>
    </w:p>
    <w:p>
      <w:pPr>
        <w:pStyle w:val="ListBullet"/>
        <w:keepLines w:val="1"/>
        <w:keepNext w:val="1"/>
        <w:widowControl w:val="1"/>
      </w:pPr>
      <w:r>
        <w:t>Un ciclo de revisión anual para:</w:t>
      </w:r>
    </w:p>
    <w:p>
      <w:pPr>
        <w:pStyle w:val="ListBullet"/>
        <w:keepLines w:val="1"/>
        <w:keepNext w:val="1"/>
        <w:widowControl w:val="1"/>
      </w:pPr>
      <w:r>
        <w:t>Actualizar referencias normativas.</w:t>
      </w:r>
    </w:p>
    <w:p>
      <w:pPr>
        <w:pStyle w:val="ListBullet"/>
        <w:keepLines w:val="1"/>
        <w:keepNext w:val="1"/>
        <w:widowControl w:val="1"/>
      </w:pPr>
      <w:r>
        <w:t>Ajustar preguntas a nuevos riesgos (p. ej. IA generativa, nuevas regulaciones).</w:t>
      </w:r>
    </w:p>
    <w:p>
      <w:pPr>
        <w:pStyle w:val="ListBullet"/>
        <w:keepLines w:val="1"/>
        <w:widowControl w:val="1"/>
      </w:pPr>
      <w:r>
        <w:t>Incorporar lecciones aprendidas del uso real.</w:t>
      </w:r>
    </w:p>
    <w:p>
      <w:r>
        <w:t>Mientras tanto, si ha llegado leyendo hasta aquí, felicidades: está oficialmente por encima de la media en paciencia metodológica.</w:t>
      </w:r>
    </w:p>
    <w:p>
      <w: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