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 la encuesta sobre KEV, vulnerabilidades, pentesting, SIEM y capacitación</w:t>
      </w:r>
    </w:p>
    <w:p>
      <w:pPr>
        <w:pStyle w:val="Heading2"/>
        <w:keepNext/>
        <w:keepLines/>
      </w:pPr>
      <w:r>
        <w:rPr>
          <w:color w:val="0066CC"/>
        </w:rPr>
        <w:t>1. Objetivo general</w:t>
      </w:r>
    </w:p>
    <w:p>
      <w:r>
        <w:t>Esta guía describe cómo diseñar, aplicar y analizar una encuesta de madurez en ciberseguridad centrada en:</w:t>
      </w:r>
    </w:p>
    <w:p>
      <w:pPr>
        <w:pStyle w:val="ListBullet"/>
        <w:keepLines w:val="1"/>
        <w:keepNext w:val="1"/>
        <w:widowControl w:val="1"/>
      </w:pPr>
      <w:r>
        <w:t>Gestión de vulnerabilidades y, en particular, de las Known Exploited Vulnerabilities (KEV).</w:t>
      </w:r>
    </w:p>
    <w:p>
      <w:pPr>
        <w:pStyle w:val="ListBullet"/>
        <w:keepLines w:val="1"/>
        <w:keepNext w:val="1"/>
        <w:widowControl w:val="1"/>
      </w:pPr>
      <w:r>
        <w:t>Pruebas de penetración y ejercicios de Red/Purple Team.</w:t>
      </w:r>
    </w:p>
    <w:p>
      <w:pPr>
        <w:pStyle w:val="ListBullet"/>
        <w:keepLines w:val="1"/>
        <w:keepNext w:val="1"/>
        <w:widowControl w:val="1"/>
      </w:pPr>
      <w:r>
        <w:t>Monitorización y gestión de eventos de seguridad (SIEM/SOC).</w:t>
      </w:r>
    </w:p>
    <w:p>
      <w:pPr>
        <w:pStyle w:val="ListBullet"/>
        <w:keepLines w:val="1"/>
        <w:widowControl w:val="1"/>
      </w:pPr>
      <w:r>
        <w:t>Capacitación y cultura de seguridad de los empleados.</w:t>
      </w:r>
    </w:p>
    <w:p>
      <w:r>
        <w:t xml:space="preserve">El resultado esperado es un </w:t>
      </w:r>
      <w:r>
        <w:rPr>
          <w:b/>
        </w:rPr>
        <w:t>Índice Global de Madurez (IGM)</w:t>
      </w:r>
      <w:r>
        <w:t xml:space="preserve"> y una serie de subíndices que permitan comparar organizaciones, sectores y periodos, así como apoyar decisiones de inversión (incluido el análisis de ROI).</w:t>
      </w:r>
    </w:p>
    <w:p>
      <w:pPr>
        <w:pStyle w:val="Heading2"/>
        <w:keepNext/>
        <w:keepLines/>
      </w:pPr>
      <w:r>
        <w:rPr>
          <w:color w:val="0066CC"/>
        </w:rPr>
        <w:t>2. Alcance y población objetivo</w:t>
      </w:r>
    </w:p>
    <w:p>
      <w:pPr>
        <w:pStyle w:val="Heading3"/>
        <w:keepNext/>
        <w:keepLines/>
      </w:pPr>
      <w:r>
        <w:t>2.1 Tipo de organizaciones</w:t>
      </w:r>
    </w:p>
    <w:p>
      <w:r>
        <w:t>La encuesta está pensada para ser aplicada en:</w:t>
      </w:r>
    </w:p>
    <w:p>
      <w:pPr>
        <w:pStyle w:val="ListBullet"/>
        <w:keepLines w:val="1"/>
        <w:keepNext w:val="1"/>
        <w:widowControl w:val="1"/>
      </w:pPr>
      <w:r>
        <w:t>Organizaciones públicas y privadas de cualquier tamaño.</w:t>
      </w:r>
    </w:p>
    <w:p>
      <w:pPr>
        <w:pStyle w:val="ListBullet"/>
        <w:keepLines w:val="1"/>
        <w:keepNext w:val="1"/>
        <w:widowControl w:val="1"/>
      </w:pPr>
      <w:r>
        <w:t>Especialmente útil en:</w:t>
      </w:r>
    </w:p>
    <w:p>
      <w:pPr>
        <w:pStyle w:val="ListBullet"/>
        <w:keepLines w:val="1"/>
        <w:keepNext w:val="1"/>
        <w:widowControl w:val="1"/>
      </w:pPr>
      <w:r>
        <w:t>Operadores de servicios esenciales o importantes (NIS2).</w:t>
      </w:r>
    </w:p>
    <w:p>
      <w:pPr>
        <w:pStyle w:val="ListBullet"/>
        <w:keepLines w:val="1"/>
        <w:keepNext w:val="1"/>
        <w:widowControl w:val="1"/>
      </w:pPr>
      <w:r>
        <w:t>Entidades sujetas al Esquema Nacional de Seguridad (ENS).</w:t>
      </w:r>
    </w:p>
    <w:p>
      <w:pPr>
        <w:pStyle w:val="ListBullet"/>
        <w:keepLines w:val="1"/>
        <w:widowControl w:val="1"/>
      </w:pPr>
      <w:r>
        <w:t>Sectores con fuerte dependencia digital (financiero, sanitario, industrial, TIC, etc.).</w:t>
      </w:r>
    </w:p>
    <w:p>
      <w:pPr>
        <w:pStyle w:val="Heading3"/>
        <w:keepNext/>
        <w:keepLines/>
      </w:pPr>
      <w:r>
        <w:t>2.2 Perfil de personas encuestadas</w:t>
      </w:r>
    </w:p>
    <w:p>
      <w:r>
        <w:t>Se recomienda que respondan, de forma conjunta o coordinada:</w:t>
      </w:r>
    </w:p>
    <w:p>
      <w:pPr>
        <w:pStyle w:val="ListBullet"/>
        <w:keepLines w:val="1"/>
        <w:keepNext w:val="1"/>
        <w:widowControl w:val="1"/>
      </w:pPr>
      <w:r>
        <w:t>CISO o responsable de seguridad de la información.</w:t>
      </w:r>
    </w:p>
    <w:p>
      <w:pPr>
        <w:pStyle w:val="ListBullet"/>
        <w:keepLines w:val="1"/>
        <w:keepNext w:val="1"/>
        <w:widowControl w:val="1"/>
      </w:pPr>
      <w:r>
        <w:t>Responsables de infraestructura/TI.</w:t>
      </w:r>
    </w:p>
    <w:p>
      <w:pPr>
        <w:pStyle w:val="ListBullet"/>
        <w:keepLines w:val="1"/>
        <w:keepNext w:val="1"/>
        <w:widowControl w:val="1"/>
      </w:pPr>
      <w:r>
        <w:t>Responsables de SOC/SIEM.</w:t>
      </w:r>
    </w:p>
    <w:p>
      <w:pPr>
        <w:pStyle w:val="ListBullet"/>
        <w:keepLines w:val="1"/>
        <w:keepNext w:val="1"/>
        <w:widowControl w:val="1"/>
      </w:pPr>
      <w:r>
        <w:t>Responsables de formación y concienciación.</w:t>
      </w:r>
    </w:p>
    <w:p>
      <w:pPr>
        <w:pStyle w:val="ListBullet"/>
        <w:keepLines w:val="1"/>
        <w:widowControl w:val="1"/>
      </w:pPr>
      <w:r>
        <w:t>Cuando proceda, responsables de continuidad de negocio y gestión de riesgos.</w:t>
      </w:r>
    </w:p>
    <w:p>
      <w:r>
        <w:t xml:space="preserve">La encuesta puede rellenarse de forma </w:t>
      </w:r>
      <w:r>
        <w:rPr>
          <w:b/>
        </w:rPr>
        <w:t>colaborativa</w:t>
      </w:r>
      <w:r>
        <w:t xml:space="preserve"> (por ejemplo, en una sesión de trabajo interna) para fomentar una visión compartida.</w:t>
      </w:r>
    </w:p>
    <w:p>
      <w:pPr>
        <w:pStyle w:val="Heading2"/>
        <w:keepNext/>
        <w:keepLines/>
      </w:pPr>
      <w:r>
        <w:rPr>
          <w:color w:val="0066CC"/>
        </w:rPr>
        <w:t>3. Diseño del cuestionario</w:t>
      </w:r>
    </w:p>
    <w:p>
      <w:pPr>
        <w:pStyle w:val="Heading3"/>
        <w:keepNext/>
        <w:keepLines/>
      </w:pPr>
      <w:r>
        <w:t>3.1 Bloques temáticos</w:t>
      </w:r>
    </w:p>
    <w:p>
      <w:r>
        <w:t>El modelo de encuesta (</w:t>
      </w:r>
      <w:r>
        <w:rPr>
          <w:rFonts w:ascii="Courier New" w:hAnsi="Courier New"/>
          <w:sz w:val="18"/>
        </w:rPr>
        <w:t>encuesta-modelo.md</w:t>
      </w:r>
      <w:r>
        <w:t>) se estructura en los siguientes bloques:</w:t>
      </w:r>
    </w:p>
    <w:p>
      <w:pPr>
        <w:pStyle w:val="ListNumber"/>
        <w:keepLines w:val="1"/>
        <w:keepNext w:val="1"/>
        <w:widowControl w:val="1"/>
      </w:pPr>
      <w:r>
        <w:t>PERF – Perfil de la organización.</w:t>
      </w:r>
    </w:p>
    <w:p>
      <w:pPr>
        <w:pStyle w:val="ListNumber"/>
        <w:keepLines w:val="1"/>
        <w:keepNext w:val="1"/>
        <w:widowControl w:val="1"/>
      </w:pPr>
      <w:r>
        <w:t>GOV – Gobierno y estrategia de vulnerabilidades.</w:t>
      </w:r>
    </w:p>
    <w:p>
      <w:pPr>
        <w:pStyle w:val="ListNumber"/>
        <w:keepLines w:val="1"/>
        <w:keepNext w:val="1"/>
        <w:widowControl w:val="1"/>
      </w:pPr>
      <w:r>
        <w:t>VUL – Gestión operativa de vulnerabilidades y KEV.</w:t>
      </w:r>
    </w:p>
    <w:p>
      <w:pPr>
        <w:pStyle w:val="ListNumber"/>
        <w:keepLines w:val="1"/>
        <w:keepNext w:val="1"/>
        <w:widowControl w:val="1"/>
      </w:pPr>
      <w:r>
        <w:t>PEN – Pruebas de penetración y ejercicios.</w:t>
      </w:r>
    </w:p>
    <w:p>
      <w:pPr>
        <w:pStyle w:val="ListNumber"/>
        <w:keepLines w:val="1"/>
        <w:keepNext w:val="1"/>
        <w:widowControl w:val="1"/>
      </w:pPr>
      <w:r>
        <w:t>SIEM – Monitorización, SIEM y detección.</w:t>
      </w:r>
    </w:p>
    <w:p>
      <w:pPr>
        <w:pStyle w:val="ListNumber"/>
        <w:keepLines w:val="1"/>
        <w:keepNext w:val="1"/>
        <w:widowControl w:val="1"/>
      </w:pPr>
      <w:r>
        <w:t>AWR – Capacitación y cultura de seguridad.</w:t>
      </w:r>
    </w:p>
    <w:p>
      <w:pPr>
        <w:pStyle w:val="ListNumber"/>
        <w:keepLines w:val="1"/>
        <w:keepNext w:val="1"/>
        <w:widowControl w:val="1"/>
      </w:pPr>
      <w:r>
        <w:t>MET – Métricas, indicadores y ROI.</w:t>
      </w:r>
    </w:p>
    <w:p>
      <w:pPr>
        <w:pStyle w:val="ListNumber"/>
        <w:keepLines w:val="1"/>
        <w:widowControl w:val="1"/>
      </w:pPr>
      <w:r>
        <w:t>IMP – Planes de mejora y obstáculos.</w:t>
      </w:r>
    </w:p>
    <w:p>
      <w:pPr>
        <w:pStyle w:val="Heading3"/>
        <w:keepNext/>
        <w:keepLines/>
      </w:pPr>
      <w:r>
        <w:t>3.2 Identificadores de preguntas</w:t>
      </w:r>
    </w:p>
    <w:p>
      <w:r>
        <w:t>Cada pregunta tiene un identificador único (por ejemplo, «GOV-01», «VUL-03»).</w:t>
      </w:r>
      <w:r/>
      <w:r>
        <w:br/>
        <w:t>Estos identificadores se utilizan en:</w:t>
      </w:r>
    </w:p>
    <w:p>
      <w:pPr>
        <w:pStyle w:val="ListBullet"/>
        <w:keepLines w:val="1"/>
        <w:keepNext w:val="1"/>
        <w:widowControl w:val="1"/>
      </w:pPr>
      <w:r>
        <w:t>El propio cuestionario.</w:t>
      </w:r>
    </w:p>
    <w:p>
      <w:pPr>
        <w:pStyle w:val="ListBullet"/>
        <w:keepLines w:val="1"/>
        <w:keepNext w:val="1"/>
        <w:widowControl w:val="1"/>
      </w:pPr>
      <w:r>
        <w:t>El libro de Excel para el cálculo de IGM y ROI.</w:t>
      </w:r>
    </w:p>
    <w:p>
      <w:pPr>
        <w:pStyle w:val="ListBullet"/>
        <w:keepLines w:val="1"/>
        <w:widowControl w:val="1"/>
      </w:pPr>
      <w:r>
        <w:t>El mapeo normativo.</w:t>
      </w:r>
    </w:p>
    <w:p>
      <w:r>
        <w:t xml:space="preserve">Se recomienda </w:t>
      </w:r>
      <w:r>
        <w:rPr>
          <w:b/>
        </w:rPr>
        <w:t>no modificarlos</w:t>
      </w:r>
      <w:r>
        <w:t xml:space="preserve"> para mantener la compatibilidad entre componentes.</w:t>
      </w:r>
    </w:p>
    <w:p>
      <w:pPr>
        <w:pStyle w:val="Heading3"/>
        <w:keepNext/>
        <w:keepLines/>
      </w:pPr>
      <w:r>
        <w:t>3.3 Tipos de preguntas y escalas</w:t>
      </w:r>
    </w:p>
    <w:p>
      <w:r>
        <w:t>Se emplean principalmente:</w:t>
      </w:r>
    </w:p>
    <w:p>
      <w:pPr>
        <w:pStyle w:val="ListBullet"/>
        <w:keepLines w:val="1"/>
        <w:keepNext w:val="1"/>
        <w:widowControl w:val="1"/>
      </w:pPr>
      <w:r>
        <w:t>Preguntas de opción única con 3–5 alternativas ordenadas de menor a mayor madurez.</w:t>
      </w:r>
    </w:p>
    <w:p>
      <w:pPr>
        <w:pStyle w:val="ListBullet"/>
        <w:keepLines w:val="1"/>
        <w:keepNext w:val="1"/>
        <w:widowControl w:val="1"/>
      </w:pPr>
      <w:r>
        <w:t>Preguntas tipo Likert (por ejemplo, de «Totalmente en desacuerdo» a «Totalmente de acuerdo»).</w:t>
      </w:r>
    </w:p>
    <w:p>
      <w:pPr>
        <w:pStyle w:val="ListBullet"/>
        <w:keepLines w:val="1"/>
        <w:widowControl w:val="1"/>
      </w:pPr>
      <w:r>
        <w:t>Preguntas abiertas acotadas (para detallar principales obstáculos, iniciativas, etc.), que no intervienen directamente en el cálculo del IGM pero enriquecen la interpretación.</w:t>
      </w:r>
    </w:p>
    <w:p>
      <w:r>
        <w:t xml:space="preserve">Para cada pregunta cerrada, se definirá una </w:t>
      </w:r>
      <w:r>
        <w:rPr>
          <w:b/>
        </w:rPr>
        <w:t>codificación numérica</w:t>
      </w:r>
      <w:r>
        <w:t xml:space="preserve"> (por ejemplo, 1–4), documentada en el libro Excel.</w:t>
      </w:r>
    </w:p>
    <w:p>
      <w:pPr>
        <w:pStyle w:val="Heading2"/>
        <w:keepNext/>
        <w:keepLines/>
      </w:pPr>
      <w:r>
        <w:rPr>
          <w:color w:val="0066CC"/>
        </w:rPr>
        <w:t>4. Procedimiento de aplicación</w:t>
      </w:r>
    </w:p>
    <w:p>
      <w:pPr>
        <w:pStyle w:val="Heading3"/>
        <w:keepNext/>
        <w:keepLines/>
      </w:pPr>
      <w:r>
        <w:t>4.1 Modalidades posibles</w:t>
      </w:r>
    </w:p>
    <w:p>
      <w:pPr>
        <w:pStyle w:val="ListBullet"/>
        <w:keepLines w:val="1"/>
        <w:keepNext w:val="1"/>
        <w:widowControl w:val="1"/>
      </w:pPr>
      <w:r>
        <w:t>Autorrelleno online: envío de un enlace a un formulario (por ejemplo, herramienta de encuestas, formulario corporativo, etc.).</w:t>
      </w:r>
    </w:p>
    <w:p>
      <w:pPr>
        <w:pStyle w:val="ListBullet"/>
        <w:keepLines w:val="1"/>
        <w:keepNext w:val="1"/>
        <w:widowControl w:val="1"/>
      </w:pPr>
      <w:r>
        <w:t>Entrevista guiada: un entrevistador realiza las preguntas y registra las respuestas.</w:t>
      </w:r>
    </w:p>
    <w:p>
      <w:pPr>
        <w:pStyle w:val="ListBullet"/>
        <w:keepLines w:val="1"/>
        <w:widowControl w:val="1"/>
      </w:pPr>
      <w:r>
        <w:t>Taller colaborativo: sesión de trabajo en la que los responsables debaten y acuerdan las respuestas.</w:t>
      </w:r>
    </w:p>
    <w:p>
      <w:r>
        <w:t xml:space="preserve">La modalidad puede combinarse, respetando siempre la </w:t>
      </w:r>
      <w:r>
        <w:rPr>
          <w:b/>
        </w:rPr>
        <w:t>consistencia</w:t>
      </w:r>
      <w:r>
        <w:t xml:space="preserve"> en la interpretación de las preguntas.</w:t>
      </w:r>
    </w:p>
    <w:p>
      <w:pPr>
        <w:pStyle w:val="Heading3"/>
        <w:keepNext/>
        <w:keepLines/>
      </w:pPr>
      <w:r>
        <w:t>4.2 Recomendaciones prácticas</w:t>
      </w:r>
    </w:p>
    <w:p>
      <w:pPr>
        <w:pStyle w:val="ListNumber"/>
        <w:keepLines w:val="1"/>
        <w:keepNext w:val="1"/>
        <w:widowControl w:val="1"/>
      </w:pPr>
      <w:r>
        <w:t>Comunicar claramente el objetivo de la encuesta (mejora, no auditoría punitiva).</w:t>
      </w:r>
    </w:p>
    <w:p>
      <w:pPr>
        <w:pStyle w:val="ListNumber"/>
        <w:keepLines w:val="1"/>
        <w:keepNext w:val="1"/>
        <w:widowControl w:val="1"/>
      </w:pPr>
      <w:r>
        <w:t>Estimar el tiempo de respuesta (por ejemplo, 45–60 minutos) y respetarlo en la práctica.</w:t>
      </w:r>
    </w:p>
    <w:p>
      <w:pPr>
        <w:pStyle w:val="ListNumber"/>
        <w:keepLines w:val="1"/>
        <w:keepNext w:val="1"/>
        <w:widowControl w:val="1"/>
      </w:pPr>
      <w:r>
        <w:t>Evitar periodos de máxima carga operativa (cierres, migraciones críticas, etc.).</w:t>
      </w:r>
    </w:p>
    <w:p>
      <w:pPr>
        <w:pStyle w:val="ListNumber"/>
        <w:keepLines w:val="1"/>
        <w:widowControl w:val="1"/>
      </w:pPr>
      <w:r>
        <w:t>Ofrecer un punto de contacto para dudas sobre el significado de las preguntas.</w:t>
      </w:r>
    </w:p>
    <w:p>
      <w:pPr>
        <w:pStyle w:val="Heading3"/>
        <w:keepNext/>
        <w:keepLines/>
      </w:pPr>
      <w:r>
        <w:t>4.3 Periodicidad recomendada</w:t>
      </w:r>
    </w:p>
    <w:p>
      <w:pPr>
        <w:pStyle w:val="ListBullet"/>
        <w:keepLines w:val="1"/>
        <w:keepNext w:val="1"/>
        <w:widowControl w:val="1"/>
      </w:pPr>
      <w:r>
        <w:t>Primera aplicación: establecimiento de línea base.</w:t>
      </w:r>
    </w:p>
    <w:p>
      <w:pPr>
        <w:pStyle w:val="ListBullet"/>
        <w:keepLines w:val="1"/>
        <w:widowControl w:val="1"/>
      </w:pPr>
      <w:r>
        <w:t>Repetición: cada 12–24 meses, o tras cambios disruptivos (grandes proyectos de transformación, reorganizaciones, incidentes graves).</w:t>
      </w:r>
    </w:p>
    <w:p>
      <w:pPr>
        <w:pStyle w:val="Heading2"/>
        <w:keepNext/>
        <w:keepLines/>
      </w:pPr>
      <w:r>
        <w:rPr>
          <w:color w:val="0066CC"/>
        </w:rPr>
        <w:t>5. Tratamiento de datos</w:t>
      </w:r>
    </w:p>
    <w:p>
      <w:pPr>
        <w:pStyle w:val="Heading3"/>
        <w:keepNext/>
        <w:keepLines/>
      </w:pPr>
      <w:r>
        <w:t>5.1 Limpieza y validación</w:t>
      </w:r>
    </w:p>
    <w:p>
      <w:r>
        <w:t>Antes de calcular indicadores:</w:t>
      </w:r>
    </w:p>
    <w:p>
      <w:pPr>
        <w:pStyle w:val="ListBullet"/>
        <w:keepLines w:val="1"/>
        <w:keepNext w:val="1"/>
        <w:widowControl w:val="1"/>
      </w:pPr>
      <w:r>
        <w:t>Comprobar que todas las preguntas obligatorias tienen respuesta.</w:t>
      </w:r>
    </w:p>
    <w:p>
      <w:pPr>
        <w:pStyle w:val="ListBullet"/>
        <w:keepLines w:val="1"/>
        <w:keepNext w:val="1"/>
        <w:widowControl w:val="1"/>
      </w:pPr>
      <w:r>
        <w:t>Revisar valores atípicos o inconsistentes (por ejemplo, combinaciones imposible de madurez extrema y ausencia total de procesos).</w:t>
      </w:r>
    </w:p>
    <w:p>
      <w:pPr>
        <w:pStyle w:val="ListBullet"/>
        <w:keepLines w:val="1"/>
        <w:widowControl w:val="1"/>
      </w:pPr>
      <w:r>
        <w:t>Documentar cualquier corrección o imputación efectuada.</w:t>
      </w:r>
    </w:p>
    <w:p>
      <w:pPr>
        <w:pStyle w:val="Heading3"/>
        <w:keepNext/>
        <w:keepLines/>
      </w:pPr>
      <w:r>
        <w:t>5.2 Codificación</w:t>
      </w:r>
    </w:p>
    <w:p>
      <w:pPr>
        <w:pStyle w:val="ListBullet"/>
        <w:keepLines w:val="1"/>
        <w:keepNext w:val="1"/>
        <w:widowControl w:val="1"/>
      </w:pPr>
      <w:r>
        <w:t>Asignar valores numéricos a las opciones de respuesta según la escala definida.</w:t>
      </w:r>
    </w:p>
    <w:p>
      <w:pPr>
        <w:pStyle w:val="ListBullet"/>
        <w:keepLines w:val="1"/>
        <w:widowControl w:val="1"/>
      </w:pPr>
      <w:r>
        <w:t>En preguntas con opciones que representen situaciones claramente negativas, pero muy informativas, usar valores bajos (1–2) sin miedo: el propósito es discriminar niveles de madurez.</w:t>
      </w:r>
    </w:p>
    <w:p>
      <w:pPr>
        <w:pStyle w:val="Heading3"/>
        <w:keepNext/>
        <w:keepLines/>
      </w:pPr>
      <w:r>
        <w:t>5.3 Agregación por dimensiones</w:t>
      </w:r>
    </w:p>
    <w:p>
      <w:pPr>
        <w:pStyle w:val="ListBullet"/>
        <w:keepLines w:val="1"/>
        <w:keepNext w:val="1"/>
        <w:widowControl w:val="1"/>
      </w:pPr>
      <w:r>
        <w:t>Calcular, para cada organización, la media ponderada de las respuestas de cada bloque (GOV, VUL, etc.).</w:t>
      </w:r>
    </w:p>
    <w:p>
      <w:pPr>
        <w:pStyle w:val="ListBullet"/>
        <w:keepLines w:val="1"/>
        <w:widowControl w:val="1"/>
      </w:pPr>
      <w:r>
        <w:t>Normalizar, si se desea, a una escala común (por ejemplo, 0–100) para facilitar la comunicación: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Índice_normalizado = (Media_respuestas - Valor_Min) / (Valor_Max - Valor_Min) * 100</w:t>
        <w:br/>
      </w:r>
    </w:p>
    <w:p>
      <w:pPr>
        <w:pStyle w:val="Heading2"/>
        <w:keepNext/>
        <w:keepLines/>
      </w:pPr>
      <w:r>
        <w:rPr>
          <w:color w:val="0066CC"/>
        </w:rPr>
        <w:t>6. Cálculo del Índice Global de Madurez (IGM)</w:t>
      </w:r>
    </w:p>
    <w:p>
      <w:pPr>
        <w:pStyle w:val="Heading3"/>
        <w:keepNext/>
        <w:keepLines/>
      </w:pPr>
      <w:r>
        <w:t>6.1 Lógica general</w:t>
      </w:r>
    </w:p>
    <w:p>
      <w:r>
        <w:t xml:space="preserve">El IGM se define como una </w:t>
      </w:r>
      <w:r>
        <w:rPr>
          <w:b/>
        </w:rPr>
        <w:t>media ponderada</w:t>
      </w:r>
      <w:r>
        <w:t xml:space="preserve"> de los subíndices de bloque: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Σ (Subíndice_bloque × Peso_bloque)</w:t>
        <w:br/>
      </w:r>
    </w:p>
    <w:p>
      <w:r>
        <w:t>Los pesos por bloque pueden ajustarse según el contexto, pero una propuesta razonable es:</w:t>
      </w:r>
    </w:p>
    <w:p>
      <w:pPr>
        <w:pStyle w:val="ListBullet"/>
        <w:keepLines w:val="1"/>
        <w:keepNext w:val="1"/>
        <w:widowControl w:val="1"/>
      </w:pPr>
      <w:r>
        <w:t>GOV: 15 %</w:t>
      </w:r>
    </w:p>
    <w:p>
      <w:pPr>
        <w:pStyle w:val="ListBullet"/>
        <w:keepLines w:val="1"/>
        <w:keepNext w:val="1"/>
        <w:widowControl w:val="1"/>
      </w:pPr>
      <w:r>
        <w:t>VUL: 25 %</w:t>
      </w:r>
    </w:p>
    <w:p>
      <w:pPr>
        <w:pStyle w:val="ListBullet"/>
        <w:keepLines w:val="1"/>
        <w:keepNext w:val="1"/>
        <w:widowControl w:val="1"/>
      </w:pPr>
      <w:r>
        <w:t>PEN: 15 %</w:t>
      </w:r>
    </w:p>
    <w:p>
      <w:pPr>
        <w:pStyle w:val="ListBullet"/>
        <w:keepLines w:val="1"/>
        <w:keepNext w:val="1"/>
        <w:widowControl w:val="1"/>
      </w:pPr>
      <w:r>
        <w:t>SIEM: 20 %</w:t>
      </w:r>
    </w:p>
    <w:p>
      <w:pPr>
        <w:pStyle w:val="ListBullet"/>
        <w:keepLines w:val="1"/>
        <w:keepNext w:val="1"/>
        <w:widowControl w:val="1"/>
      </w:pPr>
      <w:r>
        <w:t>AWR: 15 %</w:t>
      </w:r>
    </w:p>
    <w:p>
      <w:pPr>
        <w:pStyle w:val="ListBullet"/>
        <w:keepLines w:val="1"/>
        <w:widowControl w:val="1"/>
      </w:pPr>
      <w:r>
        <w:t>MET: 10 %</w:t>
      </w:r>
    </w:p>
    <w:p>
      <w:pPr>
        <w:pStyle w:val="Heading3"/>
        <w:keepNext/>
        <w:keepLines/>
      </w:pPr>
      <w:r>
        <w:t>6.2 Subíndices por bloque</w:t>
      </w:r>
    </w:p>
    <w:p>
      <w:r>
        <w:t xml:space="preserve">Cada subíndice se calcula como la media ponderada de las preguntas de ese bloque, normalizada a 0–100. La hoja </w:t>
      </w:r>
      <w:r>
        <w:rPr>
          <w:rFonts w:ascii="Courier New" w:hAnsi="Courier New"/>
          <w:sz w:val="18"/>
        </w:rPr>
        <w:t>Ponderaciones</w:t>
      </w:r>
      <w:r>
        <w:t xml:space="preserve"> del Excel define el peso de cada pregunta dentro de su bloque.</w:t>
      </w:r>
    </w:p>
    <w:p>
      <w:pPr>
        <w:pStyle w:val="Heading3"/>
        <w:keepNext/>
        <w:keepLines/>
      </w:pPr>
      <w:r>
        <w:t>6.3 Niveles cualitativos</w:t>
      </w:r>
    </w:p>
    <w:p>
      <w:r>
        <w:t>Sobre la escala 0–100 se pueden definir niveles cualitativos, por ejemplo:</w:t>
      </w:r>
    </w:p>
    <w:p>
      <w:pPr>
        <w:pStyle w:val="ListBullet"/>
        <w:keepLines w:val="1"/>
        <w:keepNext w:val="1"/>
        <w:widowControl w:val="1"/>
      </w:pPr>
      <w:r>
        <w:t>0–20: Nivel 1 – Inicial.</w:t>
      </w:r>
    </w:p>
    <w:p>
      <w:pPr>
        <w:pStyle w:val="ListBullet"/>
        <w:keepLines w:val="1"/>
        <w:keepNext w:val="1"/>
        <w:widowControl w:val="1"/>
      </w:pPr>
      <w:r>
        <w:t>21–40: Nivel 2 – Básico.</w:t>
      </w:r>
    </w:p>
    <w:p>
      <w:pPr>
        <w:pStyle w:val="ListBullet"/>
        <w:keepLines w:val="1"/>
        <w:keepNext w:val="1"/>
        <w:widowControl w:val="1"/>
      </w:pPr>
      <w:r>
        <w:t>41–60: Nivel 3 – Definido.</w:t>
      </w:r>
    </w:p>
    <w:p>
      <w:pPr>
        <w:pStyle w:val="ListBullet"/>
        <w:keepLines w:val="1"/>
        <w:keepNext w:val="1"/>
        <w:widowControl w:val="1"/>
      </w:pPr>
      <w:r>
        <w:t>61–80: Nivel 4 – Gestionado.</w:t>
      </w:r>
    </w:p>
    <w:p>
      <w:pPr>
        <w:pStyle w:val="ListBullet"/>
        <w:keepLines w:val="1"/>
        <w:widowControl w:val="1"/>
      </w:pPr>
      <w:r>
        <w:t>81–100: Nivel 5 – Optimizado.</w:t>
      </w:r>
    </w:p>
    <w:p>
      <w:r>
        <w:t>Estos umbrales pueden adaptarse, siempre que se documenten claramente.</w:t>
      </w:r>
    </w:p>
    <w:p>
      <w:pPr>
        <w:pStyle w:val="Heading2"/>
        <w:keepNext/>
        <w:keepLines/>
      </w:pPr>
      <w:r>
        <w:rPr>
          <w:color w:val="0066CC"/>
        </w:rPr>
        <w:t>7. Estimación del ROI de iniciativas de mejora</w:t>
      </w:r>
    </w:p>
    <w:p>
      <w:pPr>
        <w:pStyle w:val="Heading3"/>
        <w:keepNext/>
        <w:keepLines/>
      </w:pPr>
      <w:r>
        <w:t>7.1 Enfoque conceptual</w:t>
      </w:r>
    </w:p>
    <w:p>
      <w:r>
        <w:t>El análisis de ROI se apoya en una comparación entre:</w:t>
      </w:r>
    </w:p>
    <w:p>
      <w:pPr>
        <w:pStyle w:val="ListBullet"/>
        <w:keepLines w:val="1"/>
        <w:keepNext w:val="1"/>
        <w:widowControl w:val="1"/>
      </w:pPr>
      <w:r>
        <w:t>Situación actual: pérdida económica esperada asociada a incidentes donde las vulnerabilidades (especialmente KEV) juegan un papel clave.</w:t>
      </w:r>
    </w:p>
    <w:p>
      <w:pPr>
        <w:pStyle w:val="ListBullet"/>
        <w:keepLines w:val="1"/>
        <w:widowControl w:val="1"/>
      </w:pPr>
      <w:r>
        <w:t>Situación prevista tras la mejora: pérdida esperada reducida, gracias a controles adicionales, mejor gestión de vulnerabilidades, mayor capacidad de detección, etc.</w:t>
      </w:r>
    </w:p>
    <w:p>
      <w:r>
        <w:t>El ROI clásico se expresa como: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ROI = (Ahorro_anual - Coste_anual_iniciativa) / Coste_anual_iniciativa</w:t>
        <w:br/>
      </w:r>
    </w:p>
    <w:p>
      <w:r>
        <w:t>donde:</w:t>
      </w:r>
    </w:p>
    <w:p>
      <w:pPr>
        <w:pStyle w:val="ListBullet"/>
        <w:keepLines w:val="1"/>
        <w:widowControl w:val="1"/>
      </w:pPr>
      <w:r>
        <w:t>Ahorro_anual = Pérdida_Esperada_Actual – Pérdida_Esperada_Prevista.</w:t>
      </w:r>
    </w:p>
    <w:p>
      <w:pPr>
        <w:pStyle w:val="Heading3"/>
        <w:keepNext/>
        <w:keepLines/>
      </w:pPr>
      <w:r>
        <w:t>7.2 Uso de la hoja «ROI»</w:t>
      </w:r>
    </w:p>
    <w:p>
      <w:r>
        <w:t xml:space="preserve">La plantilla </w:t>
      </w:r>
      <w:r>
        <w:rPr>
          <w:rFonts w:ascii="Courier New" w:hAnsi="Courier New"/>
          <w:sz w:val="18"/>
        </w:rPr>
        <w:t>plantilla-igm-roi.md</w:t>
      </w:r>
      <w:r>
        <w:t xml:space="preserve"> propone una estructura con columnas para:</w:t>
      </w:r>
    </w:p>
    <w:p>
      <w:pPr>
        <w:pStyle w:val="ListBullet"/>
        <w:keepLines w:val="1"/>
        <w:keepNext w:val="1"/>
        <w:widowControl w:val="1"/>
      </w:pPr>
      <w:r>
        <w:t>Descripción de la iniciativa.</w:t>
      </w:r>
    </w:p>
    <w:p>
      <w:pPr>
        <w:pStyle w:val="ListBullet"/>
        <w:keepLines w:val="1"/>
        <w:keepNext w:val="1"/>
        <w:widowControl w:val="1"/>
      </w:pPr>
      <w:r>
        <w:t>Dimensión a la que contribuye.</w:t>
      </w:r>
    </w:p>
    <w:p>
      <w:pPr>
        <w:pStyle w:val="ListBullet"/>
        <w:keepLines w:val="1"/>
        <w:keepNext w:val="1"/>
        <w:widowControl w:val="1"/>
      </w:pPr>
      <w:r>
        <w:t>Coste anual estimado.</w:t>
      </w:r>
    </w:p>
    <w:p>
      <w:pPr>
        <w:pStyle w:val="ListBullet"/>
        <w:keepLines w:val="1"/>
        <w:keepNext w:val="1"/>
        <w:widowControl w:val="1"/>
      </w:pPr>
      <w:r>
        <w:t>Pérdida esperada actual y prevista.</w:t>
      </w:r>
    </w:p>
    <w:p>
      <w:pPr>
        <w:pStyle w:val="ListBullet"/>
        <w:keepLines w:val="1"/>
        <w:widowControl w:val="1"/>
      </w:pPr>
      <w:r>
        <w:t>Ahorro y ROI.</w:t>
      </w:r>
    </w:p>
    <w:p>
      <w:r>
        <w:t>Las cifras deben aportarse a partir de análisis propios de riesgo, incidentes históricos, benchmarks sectoriales o juicio experto.</w:t>
      </w:r>
    </w:p>
    <w:p>
      <w:pPr>
        <w:pStyle w:val="Heading3"/>
        <w:keepNext/>
        <w:keepLines/>
      </w:pPr>
      <w:r>
        <w:t>7.3 Advertencias</w:t>
      </w:r>
    </w:p>
    <w:p>
      <w:pPr>
        <w:pStyle w:val="ListBullet"/>
        <w:keepLines w:val="1"/>
        <w:keepNext w:val="1"/>
        <w:widowControl w:val="1"/>
      </w:pPr>
      <w:r>
        <w:t>El ROI en ciberseguridad nunca es puramente financiero: hay componentes de cumplimiento, reputación y resiliencia difíciles de monetizar.</w:t>
      </w:r>
    </w:p>
    <w:p>
      <w:pPr>
        <w:pStyle w:val="ListBullet"/>
        <w:keepLines w:val="1"/>
        <w:widowControl w:val="1"/>
      </w:pPr>
      <w:r>
        <w:t>Es preferible ser prudente y transparente en las hipótesis que inflar beneficios esperados.</w:t>
      </w:r>
    </w:p>
    <w:p>
      <w:pPr>
        <w:pStyle w:val="Heading2"/>
        <w:keepNext/>
        <w:keepLines/>
      </w:pPr>
      <w:r>
        <w:rPr>
          <w:color w:val="0066CC"/>
        </w:rPr>
        <w:t>8. Interpretación y comunicación de resultados</w:t>
      </w:r>
    </w:p>
    <w:p>
      <w:pPr>
        <w:pStyle w:val="Heading3"/>
        <w:keepNext/>
        <w:keepLines/>
      </w:pPr>
      <w:r>
        <w:t>8.1 Internamente</w:t>
      </w:r>
    </w:p>
    <w:p>
      <w:pPr>
        <w:pStyle w:val="ListBullet"/>
        <w:keepLines w:val="1"/>
        <w:keepNext w:val="1"/>
        <w:widowControl w:val="1"/>
      </w:pPr>
      <w:r>
        <w:t>Compartir resultados agregados con las áreas implicadas.</w:t>
      </w:r>
    </w:p>
    <w:p>
      <w:pPr>
        <w:pStyle w:val="ListBullet"/>
        <w:keepLines w:val="1"/>
        <w:keepNext w:val="1"/>
        <w:widowControl w:val="1"/>
      </w:pPr>
      <w:r>
        <w:t>Enfocar las discusiones en prioridades y planes de acción, no en «culpables».</w:t>
      </w:r>
    </w:p>
    <w:p>
      <w:pPr>
        <w:pStyle w:val="ListBullet"/>
        <w:keepLines w:val="1"/>
        <w:widowControl w:val="1"/>
      </w:pPr>
      <w:r>
        <w:t>Usar gráficos y visualizaciones (radar de madurez, barras por bloque, etc.) para facilitar la comprensión.</w:t>
      </w:r>
    </w:p>
    <w:p>
      <w:pPr>
        <w:pStyle w:val="Heading3"/>
        <w:keepNext/>
        <w:keepLines/>
      </w:pPr>
      <w:r>
        <w:t>8.2 Hacia la alta dirección</w:t>
      </w:r>
    </w:p>
    <w:p>
      <w:pPr>
        <w:pStyle w:val="ListBullet"/>
        <w:keepLines w:val="1"/>
        <w:keepNext w:val="1"/>
        <w:widowControl w:val="1"/>
      </w:pPr>
      <w:r>
        <w:t>Destilar los resultados en pocos mensajes clave apoyados en el IGM y algunos subíndices.</w:t>
      </w:r>
    </w:p>
    <w:p>
      <w:pPr>
        <w:pStyle w:val="ListBullet"/>
        <w:keepLines w:val="1"/>
        <w:keepNext w:val="1"/>
        <w:widowControl w:val="1"/>
      </w:pPr>
      <w:r>
        <w:t>Acompañar siempre los datos de recomendaciones concretas.</w:t>
      </w:r>
    </w:p>
    <w:p>
      <w:pPr>
        <w:pStyle w:val="ListBullet"/>
        <w:keepLines w:val="1"/>
        <w:widowControl w:val="1"/>
      </w:pPr>
      <w:r>
        <w:t>Traducir el lenguaje técnico a impacto en negocio (riesgo evitado, cumplimiento regulatorio, continuidad de operaciones).</w:t>
      </w:r>
    </w:p>
    <w:p>
      <w:pPr>
        <w:pStyle w:val="Heading2"/>
        <w:keepNext/>
        <w:keepLines/>
      </w:pPr>
      <w:r>
        <w:rPr>
          <w:color w:val="0066CC"/>
        </w:rPr>
        <w:t>9. Limitaciones y buenas prácticas éticas</w:t>
      </w:r>
    </w:p>
    <w:p>
      <w:pPr>
        <w:pStyle w:val="ListBullet"/>
        <w:keepLines w:val="1"/>
        <w:keepNext w:val="1"/>
        <w:widowControl w:val="1"/>
      </w:pPr>
      <w:r>
        <w:t>La encuesta es un autodiagnóstico: puede haber sesgos de percepción u optimismo/pesimismo excesivo.</w:t>
      </w:r>
    </w:p>
    <w:p>
      <w:pPr>
        <w:pStyle w:val="ListBullet"/>
        <w:keepLines w:val="1"/>
        <w:keepNext w:val="1"/>
        <w:widowControl w:val="1"/>
      </w:pPr>
      <w:r>
        <w:t>No debe utilizarse como único criterio para comparaciones públicas entre organizaciones.</w:t>
      </w:r>
    </w:p>
    <w:p>
      <w:pPr>
        <w:pStyle w:val="ListBullet"/>
        <w:keepLines w:val="1"/>
        <w:widowControl w:val="1"/>
      </w:pPr>
      <w:r>
        <w:t>Los resultados deben tratarse con confidencialidad y compartirse de forma responsable.</w:t>
      </w:r>
    </w:p>
    <w:p>
      <w:r>
        <w:t>Como toda herramienta, su valor reside en cómo se utiliza. Aplicada con rigor y con la mentalidad adecuada, esta encuesta puede convertirse en una aliada para madurar la ciberseguridad de forma medible, razonada y, por qué no, algo más amena.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