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 de preguntas a requisitos normativos (versión KEV)</w:t>
      </w:r>
    </w:p>
    <w:p>
      <w:r>
        <w:t>Esta tabla vincula cada pregunta del modelo de encuesta con los principales marcos de referencia y normativas relevantes, haciendo especial énfasis en la gestión de vulnerabilidades explotadas conocidas (KEV).</w:t>
      </w:r>
    </w:p>
    <w:p>
      <w:r>
        <w:t>Abreviaturas empleadas:</w:t>
      </w:r>
    </w:p>
    <w:p>
      <w:pPr>
        <w:pStyle w:val="ListBullet"/>
        <w:keepLines w:val="1"/>
        <w:keepNext w:val="1"/>
        <w:widowControl w:val="1"/>
      </w:pPr>
      <w:r>
        <w:t>ISO 27001 – Sistema de gestión de la seguridad de la información.</w:t>
      </w:r>
    </w:p>
    <w:p>
      <w:pPr>
        <w:pStyle w:val="ListBullet"/>
        <w:keepLines w:val="1"/>
        <w:keepNext w:val="1"/>
        <w:widowControl w:val="1"/>
      </w:pPr>
      <w:r>
        <w:t>ISO 27002 – Controles de seguridad.</w:t>
      </w:r>
    </w:p>
    <w:p>
      <w:pPr>
        <w:pStyle w:val="ListBullet"/>
        <w:keepLines w:val="1"/>
        <w:keepNext w:val="1"/>
        <w:widowControl w:val="1"/>
      </w:pPr>
      <w:r>
        <w:t>ISO 27005 – Gestión de riesgos.</w:t>
      </w:r>
    </w:p>
    <w:p>
      <w:pPr>
        <w:pStyle w:val="ListBullet"/>
        <w:keepLines w:val="1"/>
        <w:keepNext w:val="1"/>
        <w:widowControl w:val="1"/>
      </w:pPr>
      <w:r>
        <w:t>NIST CSF – NIST Cybersecurity Framework.</w:t>
      </w:r>
    </w:p>
    <w:p>
      <w:pPr>
        <w:pStyle w:val="ListBullet"/>
        <w:keepLines w:val="1"/>
        <w:keepNext w:val="1"/>
        <w:widowControl w:val="1"/>
      </w:pPr>
      <w:r>
        <w:t>ENS – Esquema Nacional de Seguridad (España).</w:t>
      </w:r>
    </w:p>
    <w:p>
      <w:pPr>
        <w:pStyle w:val="ListBullet"/>
        <w:keepLines w:val="1"/>
        <w:keepNext w:val="1"/>
        <w:widowControl w:val="1"/>
      </w:pPr>
      <w:r>
        <w:t>NIS2 – Directiva (UE) 2022/2555 sobre medidas para un elevado nivel común de ciberseguridad.</w:t>
      </w:r>
    </w:p>
    <w:p>
      <w:pPr>
        <w:pStyle w:val="ListBullet"/>
        <w:keepLines w:val="1"/>
        <w:widowControl w:val="1"/>
      </w:pPr>
      <w:r>
        <w:t>CISA BOD 22-01 – Directiva de CISA sobre KEV para agencias federales.</w:t>
      </w:r>
    </w:p>
    <w:p>
      <w:r>
        <w:t>Nota: el mapeo es deliberadamente de alto nivel para mantenerlo manejable; puede ampliarse con referencias a controles/subcontroles específicos si se requiere mayor granularidad.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Referencias normativas/marcos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de alineamiento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PERF-01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PERF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Tipo de organización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(Contexto), NIS2 (Art. 3–4)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Ayuda a determinar la aplicabilidad de requisitos (entidad esencial/importante, organismo público, etc.).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PERF-02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PERF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Tamaño de la organización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(Contexto), ENS (Ámbito)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Permite ajustar el nivel de exigencia y la proporcionalidad de controles.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PERF-03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PERF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Sector de actividad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(Anexo I–II), 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Relaciona la organización con los sectores críticos definidos por NIS2 y ENS.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PERF-04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PERF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Ámbito geográfico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NIS2, RGPD, legislación nacional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Indica complejidad regulatoria y alcance territorial de las obligaciones.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GOV-01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Política de gestión de vulnerabilidades y KEV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A.5, A.8; ISO 27002 8.8; NIST CSF ID.RA, PR.IP; ENS MP.INFO; CISA BOD 22-01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Exige una política formal de gestión de vulnerabilidades, incorporando KEV como fuente prioritaria de riesgo.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GOV-02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Roles y responsabilidades sobre KEV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A.5.2; NIST CSF GV; ENS ORG.1; NIS2 (gobernanza)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Refuerza la asignación clara de responsabilidades y gobierno sobre la gestión de vulnerabilidades.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GOV-03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Integración de KEV en la gestión de riesgos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27005; ISO 27001 A.5, A.8; NIST CSF ID.RA; ENS Riesgos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Alinea la consideración de KEV con los procesos formales de análisis y tratamiento de riesgos.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GOV-04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Frecuencia de revisión del catálogo KEV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DE.CM; ENS OP.2; CISA BOD 22-01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Promueve la monitorización continua de nuevas KEV y su impacto potencial.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GOV-05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Criterios de priorización de vulnerabilidades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27002 8.8; NIST CSF PR.IP; NIST SP 800-40; ENS MP.SI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Introduce priorización basada en riesgo real (CVSS/EPSS/KEV) en lugar de listas de parches indiscriminadas.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GOV-06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SLAs de remediación para KEV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CISA BOD 22-01; NIST CSF RS.MI; ENS MP.SI; NIS2 Art. 21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Conecta plazos de remediación con requerimientos regulatorios y de gestión de incidentes.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VUL-01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VUL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Inventario de activos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A.5, A.8; NIST CSF ID.AM; ENS MP.SI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El inventario es la base para saber qué está potencialmente afectado por KEV.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VUL-02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VUL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Escaneo y detección de vulnerabilidades (etiqueta KEV)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27002 8.8; NIST CSF PR.IP, DE.CM; CISA KEV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Garantiza el uso de herramientas que identifiquen específicamente vulnerabilidades explotadas.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VUL-03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VUL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Correlación KEV–activos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ID.AM, PR.IP; ENS MP.SI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Mide la capacidad de vincular vulnerabilidades explotadas con activos concretos de la organización.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VUL-04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VUL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Medición del tiempo de remediación de KEV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RS.MI, PR.IP; ENS indicadores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Alinea el seguimiento de tiempos de parcheo con la mejora continua de procesos.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VUL-05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VUL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Cumplimiento de plazos de remediación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CISA BOD 22-01; NIS2 Art. 21; NIST CSF RS.MI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Facilita la supervisión del cumplimiento de plazos similares a los exigidos a agencias federales y operadores esenciales.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VUL-06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VUL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Tratamiento de dispositivos perimetrales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A.8, A.10; NIST CSF PR.AC, PR.PT; ENS MP.COM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Pone el foco en los sistemas más atacados (perímetro, VPN, firewalls).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VUL-07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VUL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Gestión de sistemas legacy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27002 (ciclo de vida); NIST CSF ID.AM, PR.IP; ENS MP.SI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Aborda el riesgo de tecnologías obsoletas donde las KEV suelen permanecer abiertas.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PEN-01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Frecuencia de pentests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A.8.8; NIST CSF PR.IP, DE.CM; ENS OP.2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Relaciona las pruebas periódicas con buenas prácticas de verificación de seguridad.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PEN-02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Cobertura de KEV en pentests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PR.IP, DE.CM; CISA KEV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Garantiza que los escenarios de prueba se alinean con vulnerabilidades explotadas reales.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PEN-03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Gestión de hallazgos de pentest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A.8.8, A.10; NIST CSF RS.MI; ENS MEJ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Integra resultados de pruebas en ciclos de corrección y mejora.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PEN-04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Ejercicios Red/Purple Team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DE.CM, RS.IM; ENS OP.2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Simula ataques avanzados (a menudo explotando KEV) para probar capacidades de detección y respuesta.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PEN-05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PEN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Verificación del cierre de KEV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27002 8.8; NIST CSF RS.MI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Asegura que las remediaciones aplicadas son efectivas en la práctica.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SIEM-01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Existencia y madurez de SIEM/SOC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DE.CM, RS.AN; ENS OP.2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Evalúa capacidad de monitorización y análisis de eventos de seguridad.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SIEM-02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Casos de uso para explotación de vulnerabilidades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DE.CM, PR.PT; CISA KEV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Refuerza el diseño de reglas de detección específicas para explotación de vulnerabilidades clave.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SIEM-03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Fuentes de logs y cobertura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A.8, A.12; NIST CSF DE.CM; ENS MP.SI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Cobertura de registro necesaria para detectar explotación de KEV.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SIEM-04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Integración de inteligencia de amenazas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ID.RA, DE.CM; NIS2 Art. 21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Promueve consumo sistemático de feeds (incluido KEV) en el SOC.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SIEM-05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Detección basada en comportamiento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DE.CM; ISO 27002 monitorización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Focaliza en capacidades avanzadas (EDR/NDR/UEBA) para detectar explotación sofisticada.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SIEM-06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Medición de MTTD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DE.CM, RS.MI; ENS indicadores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Mide la rapidez de detección de incidentes, clave para limitar impacto.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AWR-01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AWR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Programa de formación general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A.6; ISO 27002 concienciación; NIST CSF PR.AT; ENS ORG.4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Asegura capacitación mínima para todo el personal.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AWR-02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AWR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Formación técnica en vulnerabilidades/KEV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A.7; NIST CSF PR.AT; NIS2 Art. 20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Refuerza competencias de administradores, desarrolladores y personal de seguridad.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AWR-03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AWR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Simulaciones y ejercicios de concienciación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PR.AT; ENS concienciación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Incentiva campañas prácticas (phishing, respuesta básica, etc.).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AWR-04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AWR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Cultura de reporte de incidentes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27035; NIST CSF RS.CO; ENS OP.4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Evalúa la predisposición del personal a informar de situaciones sospechosas.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AWR-05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AWR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Medición de eficacia de la capacitación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27004; NIST CSF ME; ENS MEJ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Conecta la formación con métricas de resultado, no solo de actividad.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MET-01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Indicadores de vulnerabilidades y KEV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27004; NIST CSF ME; ENS indicadores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Asegura la existencia de métricas significativas ligadas a KEV.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MET-02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Indicadores de pentesting y SIEM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27004; NIST CSF ME; ENS MEJ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Facilita la evaluación del rendimiento de controles técnicos.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MET-03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Uso de benchmarks externos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ID.RA, ME; informes ENISA/CISA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Promueve la comparación con el entorno y la mejora basada en evidencia.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MET-04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Cálculo de ROI en 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27005; NIST CSF GV; NIS2 (gobernanza)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Conecta iniciativas de seguridad con análisis coste/beneficio.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MET-05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Madurez percibida en KEV/vulnerabilidades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27004; NIST CSF ME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Recoge autopercepción como complemento cualitativo a indicadores cuantitativos.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IMP-01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Existencia de plan de mejora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A.10; NIST CSF IM; ENS MEJ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Evalúa si hay un programa estructurado de mejora continua.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IMP-02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Obstáculos percibidos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GV, RS; gestión del cambio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Identifica barreras para la implantación efectiva de controles normativos.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IMP-03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IMP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Comentarios abiertos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–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Proporciona contexto adicional para interpretar el grado de cumplimiento y adecuación de marcos.</w:t>
            </w:r>
          </w:p>
        </w:tc>
      </w:tr>
    </w:tbl>
    <w:p/>
    <w:p>
      <w:r>
        <w:t>Este mapeo permite a auditores, reguladores y responsables de ciberseguridad enlazar cada resultado de la encuesta con requisitos concretos de los marcos de referencia, facilitando:</w:t>
      </w:r>
    </w:p>
    <w:p>
      <w:pPr>
        <w:pStyle w:val="ListBullet"/>
        <w:keepLines w:val="1"/>
        <w:keepNext w:val="1"/>
        <w:widowControl w:val="1"/>
      </w:pPr>
      <w:r>
        <w:t>Justificación de inversiones y prioridades.</w:t>
      </w:r>
    </w:p>
    <w:p>
      <w:pPr>
        <w:pStyle w:val="ListBullet"/>
        <w:keepLines w:val="1"/>
        <w:keepNext w:val="1"/>
        <w:widowControl w:val="1"/>
      </w:pPr>
      <w:r>
        <w:t>Preparación de auditorías formales.</w:t>
      </w:r>
    </w:p>
    <w:p>
      <w:pPr>
        <w:pStyle w:val="ListBullet"/>
        <w:keepLines w:val="1"/>
        <w:widowControl w:val="1"/>
      </w:pPr>
      <w:r>
        <w:t>Alineamiento con la transposición de NIS2 y la aplicación del ENS.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