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Matriz de Evaluación PRAGMATIC Completa para Indicadores KEV Nacionales</w:t>
      </w:r>
    </w:p>
    <w:p>
      <w:r>
        <w:t>Esta matriz evalúa cada métrica propuesta para los indicadores nacionales relacionados con KEV utilizando los nueve criterios PRAGMATIC:</w:t>
      </w:r>
    </w:p>
    <w:p>
      <w:pPr>
        <w:pStyle w:val="ListBullet"/>
        <w:keepLines w:val="1"/>
        <w:keepNext w:val="1"/>
        <w:widowControl w:val="1"/>
      </w:pPr>
      <w:r>
        <w:t>P: Predictivo</w:t>
      </w:r>
    </w:p>
    <w:p>
      <w:pPr>
        <w:pStyle w:val="ListBullet"/>
        <w:keepLines w:val="1"/>
        <w:keepNext w:val="1"/>
        <w:widowControl w:val="1"/>
      </w:pPr>
      <w:r>
        <w:t>R: Relevante</w:t>
      </w:r>
    </w:p>
    <w:p>
      <w:pPr>
        <w:pStyle w:val="ListBullet"/>
        <w:keepLines w:val="1"/>
        <w:keepNext w:val="1"/>
        <w:widowControl w:val="1"/>
      </w:pPr>
      <w:r>
        <w:t>A: Accionable</w:t>
      </w:r>
    </w:p>
    <w:p>
      <w:pPr>
        <w:pStyle w:val="ListBullet"/>
        <w:keepLines w:val="1"/>
        <w:keepNext w:val="1"/>
        <w:widowControl w:val="1"/>
      </w:pPr>
      <w:r>
        <w:t>G: Genuino</w:t>
      </w:r>
    </w:p>
    <w:p>
      <w:pPr>
        <w:pStyle w:val="ListBullet"/>
        <w:keepLines w:val="1"/>
        <w:keepNext w:val="1"/>
        <w:widowControl w:val="1"/>
      </w:pPr>
      <w:r>
        <w:t>M: Significativo</w:t>
      </w:r>
    </w:p>
    <w:p>
      <w:pPr>
        <w:pStyle w:val="ListBullet"/>
        <w:keepLines w:val="1"/>
        <w:keepNext w:val="1"/>
        <w:widowControl w:val="1"/>
      </w:pPr>
      <w:r>
        <w:t>P2: Preciso</w:t>
      </w:r>
    </w:p>
    <w:p>
      <w:pPr>
        <w:pStyle w:val="ListBullet"/>
        <w:keepLines w:val="1"/>
        <w:keepNext w:val="1"/>
        <w:widowControl w:val="1"/>
      </w:pPr>
      <w:r>
        <w:t>O: Oportuno</w:t>
      </w:r>
    </w:p>
    <w:p>
      <w:pPr>
        <w:pStyle w:val="ListBullet"/>
        <w:keepLines w:val="1"/>
        <w:keepNext w:val="1"/>
        <w:widowControl w:val="1"/>
      </w:pPr>
      <w:r>
        <w:t>I: Independiente</w:t>
      </w:r>
    </w:p>
    <w:p>
      <w:pPr>
        <w:pStyle w:val="ListBullet"/>
        <w:keepLines w:val="1"/>
        <w:widowControl w:val="1"/>
      </w:pPr>
      <w:r>
        <w:t>C: Coste‑efectivo (Cost‑effective)</w:t>
      </w:r>
    </w:p>
    <w:p>
      <w:r>
        <w:t>Puntuación por criterio: 0 (muy pobre) a 10 (excelente).</w:t>
      </w:r>
      <w:r/>
      <w:r>
        <w:br/>
        <w:t xml:space="preserve">La columna </w:t>
      </w:r>
      <w:r>
        <w:rPr>
          <w:b/>
        </w:rPr>
        <w:t>Total</w:t>
      </w:r>
      <w:r>
        <w:t xml:space="preserve"> es la suma (0–90) y la columna </w:t>
      </w:r>
      <w:r>
        <w:rPr>
          <w:b/>
        </w:rPr>
        <w:t>Comentario global</w:t>
      </w:r>
      <w:r>
        <w:t xml:space="preserve"> resume la idoneidad de la métrica.</w:t>
      </w:r>
    </w:p>
    <w:p>
      <w:r>
        <w:t>Leyenda rápida de calidad:</w:t>
      </w:r>
    </w:p>
    <w:p>
      <w:pPr>
        <w:pStyle w:val="ListBullet"/>
        <w:keepLines w:val="1"/>
        <w:keepNext w:val="1"/>
        <w:widowControl w:val="1"/>
      </w:pPr>
      <w:r>
        <w:t>&gt; 70: Métrica excelente, prioritaria.</w:t>
      </w:r>
    </w:p>
    <w:p>
      <w:pPr>
        <w:pStyle w:val="ListBullet"/>
        <w:keepLines w:val="1"/>
        <w:keepNext w:val="1"/>
        <w:widowControl w:val="1"/>
      </w:pPr>
      <w:r>
        <w:t>50–70: Métrica buena, recomendable.</w:t>
      </w:r>
    </w:p>
    <w:p>
      <w:pPr>
        <w:pStyle w:val="ListBullet"/>
        <w:keepLines w:val="1"/>
        <w:widowControl w:val="1"/>
      </w:pPr>
      <w:r>
        <w:t>&lt; 50: Métrica débil, revisar.</w:t>
      </w:r>
    </w:p>
    <w:p>
      <w:pPr>
        <w:pStyle w:val="Heading2"/>
        <w:keepNext/>
        <w:keepLines/>
      </w:pPr>
      <w:r>
        <w:rPr>
          <w:color w:val="0066CC"/>
        </w:rPr>
        <w:t>1. Indicadores de Exposición</w:t>
      </w:r>
    </w:p>
    <w:p>
      <w:pPr>
        <w:pStyle w:val="Heading3"/>
        <w:keepNext/>
        <w:keepLines/>
      </w:pPr>
      <w:r>
        <w:t>E1 – % de organizaciones con ≥1 KEV expuesta</w:t>
      </w:r>
    </w:p>
    <w:p>
      <w:r>
        <w:rPr>
          <w:b/>
        </w:rPr>
        <w:t>Definición</w:t>
      </w:r>
      <w:r>
        <w:t>: Número de organizaciones con al menos una vulnerabilidad incluida en KEV presente en activos expuestos a Internet / número total de organizaciones analizadas.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E1: % de organizaciones con ≥1 KEV expuesta</w:t>
            </w:r>
          </w:p>
        </w:tc>
        <w:tc>
          <w:tcPr>
            <w:tcW w:type="dxa" w:w="780"/>
          </w:tcPr>
          <w:p>
            <w:pPr>
              <w:keepLines w:val="1"/>
            </w:pPr>
            <w:r>
              <w:t>8</w:t>
            </w:r>
          </w:p>
        </w:tc>
        <w:tc>
          <w:tcPr>
            <w:tcW w:type="dxa" w:w="780"/>
          </w:tcPr>
          <w:p>
            <w:pPr>
              <w:keepLines w:val="1"/>
            </w:pPr>
            <w:r>
              <w:t>10</w:t>
            </w:r>
          </w:p>
        </w:tc>
        <w:tc>
          <w:tcPr>
            <w:tcW w:type="dxa" w:w="780"/>
          </w:tcPr>
          <w:p>
            <w:pPr>
              <w:keepLines w:val="1"/>
            </w:pPr>
            <w:r>
              <w:t>9</w:t>
            </w:r>
          </w:p>
        </w:tc>
        <w:tc>
          <w:tcPr>
            <w:tcW w:type="dxa" w:w="780"/>
          </w:tcPr>
          <w:p>
            <w:pPr>
              <w:keepLines w:val="1"/>
            </w:pPr>
            <w:r>
              <w:t>8</w:t>
            </w:r>
          </w:p>
        </w:tc>
        <w:tc>
          <w:tcPr>
            <w:tcW w:type="dxa" w:w="780"/>
          </w:tcPr>
          <w:p>
            <w:pPr>
              <w:keepLines w:val="1"/>
            </w:pPr>
            <w:r>
              <w:t>10</w:t>
            </w:r>
          </w:p>
        </w:tc>
        <w:tc>
          <w:tcPr>
            <w:tcW w:type="dxa" w:w="780"/>
          </w:tcPr>
          <w:p>
            <w:pPr>
              <w:keepLines w:val="1"/>
            </w:pPr>
            <w:r>
              <w:t>8</w:t>
            </w:r>
          </w:p>
        </w:tc>
        <w:tc>
          <w:tcPr>
            <w:tcW w:type="dxa" w:w="780"/>
          </w:tcPr>
          <w:p>
            <w:pPr>
              <w:keepLines w:val="1"/>
            </w:pPr>
            <w:r>
              <w:t>8</w:t>
            </w:r>
          </w:p>
        </w:tc>
        <w:tc>
          <w:tcPr>
            <w:tcW w:type="dxa" w:w="780"/>
          </w:tcPr>
          <w:p>
            <w:pPr>
              <w:keepLines w:val="1"/>
            </w:pPr>
            <w:r>
              <w:t>9</w:t>
            </w:r>
          </w:p>
        </w:tc>
        <w:tc>
          <w:tcPr>
            <w:tcW w:type="dxa" w:w="780"/>
          </w:tcPr>
          <w:p>
            <w:pPr>
              <w:keepLines w:val="1"/>
            </w:pPr>
            <w:r>
              <w:t>8</w:t>
            </w:r>
          </w:p>
        </w:tc>
        <w:tc>
          <w:tcPr>
            <w:tcW w:type="dxa" w:w="780"/>
          </w:tcPr>
          <w:p>
            <w:pPr>
              <w:keepLines w:val="1"/>
            </w:pPr>
            <w:r>
              <w:t>78</w:t>
            </w:r>
          </w:p>
        </w:tc>
        <w:tc>
          <w:tcPr>
            <w:tcW w:type="dxa" w:w="780"/>
          </w:tcPr>
          <w:p>
            <w:pPr>
              <w:keepLines w:val="1"/>
            </w:pPr>
            <w:r>
              <w:t>Excelente métrica de foto de riesgo agregado. Muy relevante para responsables nacionales, permite comparaciones internacionales y es accionable vía programas sectoriales. Requiere buena cobertura de fuentes, pero el esfuerzo es razonable frente al valor que aporta.</w:t>
            </w:r>
          </w:p>
        </w:tc>
      </w:tr>
    </w:tbl>
    <w:p/>
    <w:p>
      <w:pPr>
        <w:pStyle w:val="Heading3"/>
        <w:keepNext/>
        <w:keepLines/>
      </w:pPr>
      <w:r>
        <w:t>E2 – Densidad media de KEV por organización expuesta</w:t>
      </w:r>
    </w:p>
    <w:p>
      <w:r>
        <w:rPr>
          <w:b/>
        </w:rPr>
        <w:t>Definición</w:t>
      </w:r>
      <w:r>
        <w:t>: Nº total de KEV detectadas en organizaciones / Nº de organizaciones con al menos una KEV.</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E2: Densidad media de KEV por organización</w:t>
            </w:r>
          </w:p>
        </w:tc>
        <w:tc>
          <w:tcPr>
            <w:tcW w:type="dxa" w:w="780"/>
          </w:tcPr>
          <w:p>
            <w:pPr>
              <w:keepLines w:val="1"/>
            </w:pPr>
            <w:r>
              <w:t>7</w:t>
            </w:r>
          </w:p>
        </w:tc>
        <w:tc>
          <w:tcPr>
            <w:tcW w:type="dxa" w:w="780"/>
          </w:tcPr>
          <w:p>
            <w:pPr>
              <w:keepLines w:val="1"/>
            </w:pPr>
            <w:r>
              <w:t>9</w:t>
            </w:r>
          </w:p>
        </w:tc>
        <w:tc>
          <w:tcPr>
            <w:tcW w:type="dxa" w:w="780"/>
          </w:tcPr>
          <w:p>
            <w:pPr>
              <w:keepLines w:val="1"/>
            </w:pPr>
            <w:r>
              <w:t>8</w:t>
            </w:r>
          </w:p>
        </w:tc>
        <w:tc>
          <w:tcPr>
            <w:tcW w:type="dxa" w:w="780"/>
          </w:tcPr>
          <w:p>
            <w:pPr>
              <w:keepLines w:val="1"/>
            </w:pPr>
            <w:r>
              <w:t>8</w:t>
            </w:r>
          </w:p>
        </w:tc>
        <w:tc>
          <w:tcPr>
            <w:tcW w:type="dxa" w:w="780"/>
          </w:tcPr>
          <w:p>
            <w:pPr>
              <w:keepLines w:val="1"/>
            </w:pPr>
            <w:r>
              <w:t>9</w:t>
            </w:r>
          </w:p>
        </w:tc>
        <w:tc>
          <w:tcPr>
            <w:tcW w:type="dxa" w:w="780"/>
          </w:tcPr>
          <w:p>
            <w:pPr>
              <w:keepLines w:val="1"/>
            </w:pPr>
            <w:r>
              <w:t>7</w:t>
            </w:r>
          </w:p>
        </w:tc>
        <w:tc>
          <w:tcPr>
            <w:tcW w:type="dxa" w:w="780"/>
          </w:tcPr>
          <w:p>
            <w:pPr>
              <w:keepLines w:val="1"/>
            </w:pPr>
            <w:r>
              <w:t>7</w:t>
            </w:r>
          </w:p>
        </w:tc>
        <w:tc>
          <w:tcPr>
            <w:tcW w:type="dxa" w:w="780"/>
          </w:tcPr>
          <w:p>
            <w:pPr>
              <w:keepLines w:val="1"/>
            </w:pPr>
            <w:r>
              <w:t>8</w:t>
            </w:r>
          </w:p>
        </w:tc>
        <w:tc>
          <w:tcPr>
            <w:tcW w:type="dxa" w:w="780"/>
          </w:tcPr>
          <w:p>
            <w:pPr>
              <w:keepLines w:val="1"/>
            </w:pPr>
            <w:r>
              <w:t>8</w:t>
            </w:r>
          </w:p>
        </w:tc>
        <w:tc>
          <w:tcPr>
            <w:tcW w:type="dxa" w:w="780"/>
          </w:tcPr>
          <w:p>
            <w:pPr>
              <w:keepLines w:val="1"/>
            </w:pPr>
            <w:r>
              <w:t>71</w:t>
            </w:r>
          </w:p>
        </w:tc>
        <w:tc>
          <w:tcPr>
            <w:tcW w:type="dxa" w:w="780"/>
          </w:tcPr>
          <w:p>
            <w:pPr>
              <w:keepLines w:val="1"/>
            </w:pPr>
            <w:r>
              <w:t>Métrica muy útil para distinguir «expuestos accidentales» de «expuestos crónicos». Facilita priorizar acompañamiento y regulación por tramos de madurez. Algo más exigente en análisis, pero claramente coste‑efectiva.</w:t>
            </w:r>
          </w:p>
        </w:tc>
      </w:tr>
    </w:tbl>
    <w:p/>
    <w:p>
      <w:pPr>
        <w:pStyle w:val="Heading3"/>
        <w:keepNext/>
        <w:keepLines/>
      </w:pPr>
      <w:r>
        <w:t>E3 – Distribución de KEV por tipo de tecnología</w:t>
      </w:r>
    </w:p>
    <w:p>
      <w:r>
        <w:rPr>
          <w:b/>
        </w:rPr>
        <w:t>Definición</w:t>
      </w:r>
      <w:r>
        <w:t>: Porcentaje de KEV detectadas en distintas categorías tecnológicas (perímetro, file transfer, colaboración, CI/CD, etc.).</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E3: % de KEV por tipo de tecnología</w:t>
            </w:r>
          </w:p>
        </w:tc>
        <w:tc>
          <w:tcPr>
            <w:tcW w:type="dxa" w:w="780"/>
          </w:tcPr>
          <w:p>
            <w:pPr>
              <w:keepLines w:val="1"/>
            </w:pPr>
            <w:r>
              <w:t>7</w:t>
            </w:r>
          </w:p>
        </w:tc>
        <w:tc>
          <w:tcPr>
            <w:tcW w:type="dxa" w:w="780"/>
          </w:tcPr>
          <w:p>
            <w:pPr>
              <w:keepLines w:val="1"/>
            </w:pPr>
            <w:r>
              <w:t>9</w:t>
            </w:r>
          </w:p>
        </w:tc>
        <w:tc>
          <w:tcPr>
            <w:tcW w:type="dxa" w:w="780"/>
          </w:tcPr>
          <w:p>
            <w:pPr>
              <w:keepLines w:val="1"/>
            </w:pPr>
            <w:r>
              <w:t>8</w:t>
            </w:r>
          </w:p>
        </w:tc>
        <w:tc>
          <w:tcPr>
            <w:tcW w:type="dxa" w:w="780"/>
          </w:tcPr>
          <w:p>
            <w:pPr>
              <w:keepLines w:val="1"/>
            </w:pPr>
            <w:r>
              <w:t>8</w:t>
            </w:r>
          </w:p>
        </w:tc>
        <w:tc>
          <w:tcPr>
            <w:tcW w:type="dxa" w:w="780"/>
          </w:tcPr>
          <w:p>
            <w:pPr>
              <w:keepLines w:val="1"/>
            </w:pPr>
            <w:r>
              <w:t>9</w:t>
            </w:r>
          </w:p>
        </w:tc>
        <w:tc>
          <w:tcPr>
            <w:tcW w:type="dxa" w:w="780"/>
          </w:tcPr>
          <w:p>
            <w:pPr>
              <w:keepLines w:val="1"/>
            </w:pPr>
            <w:r>
              <w:t>7</w:t>
            </w:r>
          </w:p>
        </w:tc>
        <w:tc>
          <w:tcPr>
            <w:tcW w:type="dxa" w:w="780"/>
          </w:tcPr>
          <w:p>
            <w:pPr>
              <w:keepLines w:val="1"/>
            </w:pPr>
            <w:r>
              <w:t>8</w:t>
            </w:r>
          </w:p>
        </w:tc>
        <w:tc>
          <w:tcPr>
            <w:tcW w:type="dxa" w:w="780"/>
          </w:tcPr>
          <w:p>
            <w:pPr>
              <w:keepLines w:val="1"/>
            </w:pPr>
            <w:r>
              <w:t>8</w:t>
            </w:r>
          </w:p>
        </w:tc>
        <w:tc>
          <w:tcPr>
            <w:tcW w:type="dxa" w:w="780"/>
          </w:tcPr>
          <w:p>
            <w:pPr>
              <w:keepLines w:val="1"/>
            </w:pPr>
            <w:r>
              <w:t>7</w:t>
            </w:r>
          </w:p>
        </w:tc>
        <w:tc>
          <w:tcPr>
            <w:tcW w:type="dxa" w:w="780"/>
          </w:tcPr>
          <w:p>
            <w:pPr>
              <w:keepLines w:val="1"/>
            </w:pPr>
            <w:r>
              <w:t>71</w:t>
            </w:r>
          </w:p>
        </w:tc>
        <w:tc>
          <w:tcPr>
            <w:tcW w:type="dxa" w:w="780"/>
          </w:tcPr>
          <w:p>
            <w:pPr>
              <w:keepLines w:val="1"/>
            </w:pPr>
            <w:r>
              <w:t>Métrica clave para orientar políticas y guías técnicas (por ejemplo, foco en perímetro y plataformas de transferencia). Relevante y accionable. El coste técnico está en clasificar bien activos y vulnerabilidades, pero es asumible.</w:t>
            </w:r>
          </w:p>
        </w:tc>
      </w:tr>
    </w:tbl>
    <w:p/>
    <w:p>
      <w:pPr>
        <w:pStyle w:val="Heading2"/>
        <w:keepNext/>
        <w:keepLines/>
      </w:pPr>
      <w:r>
        <w:rPr>
          <w:color w:val="0066CC"/>
        </w:rPr>
        <w:t>2. Indicadores de Capacidad de Respuesta</w:t>
      </w:r>
    </w:p>
    <w:p>
      <w:pPr>
        <w:pStyle w:val="Heading3"/>
        <w:keepNext/>
        <w:keepLines/>
      </w:pPr>
      <w:r>
        <w:t>R1 – Tiempo medio/mediano de remediación de KEV</w:t>
      </w:r>
    </w:p>
    <w:p>
      <w:r>
        <w:rPr>
          <w:b/>
        </w:rPr>
        <w:t>Definición</w:t>
      </w:r>
      <w:r>
        <w:t>: Mediana de días desde la fecha de inclusión en KEV hasta la fecha de cierre (parche/mitigación) de la vulnerabilidad.</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R1: Mediana de días de remediación KEV</w:t>
            </w:r>
          </w:p>
        </w:tc>
        <w:tc>
          <w:tcPr>
            <w:tcW w:type="dxa" w:w="780"/>
          </w:tcPr>
          <w:p>
            <w:pPr>
              <w:keepLines w:val="1"/>
            </w:pPr>
            <w:r>
              <w:t>9</w:t>
            </w:r>
          </w:p>
        </w:tc>
        <w:tc>
          <w:tcPr>
            <w:tcW w:type="dxa" w:w="780"/>
          </w:tcPr>
          <w:p>
            <w:pPr>
              <w:keepLines w:val="1"/>
            </w:pPr>
            <w:r>
              <w:t>10</w:t>
            </w:r>
          </w:p>
        </w:tc>
        <w:tc>
          <w:tcPr>
            <w:tcW w:type="dxa" w:w="780"/>
          </w:tcPr>
          <w:p>
            <w:pPr>
              <w:keepLines w:val="1"/>
            </w:pPr>
            <w:r>
              <w:t>9</w:t>
            </w:r>
          </w:p>
        </w:tc>
        <w:tc>
          <w:tcPr>
            <w:tcW w:type="dxa" w:w="780"/>
          </w:tcPr>
          <w:p>
            <w:pPr>
              <w:keepLines w:val="1"/>
            </w:pPr>
            <w:r>
              <w:t>8</w:t>
            </w:r>
          </w:p>
        </w:tc>
        <w:tc>
          <w:tcPr>
            <w:tcW w:type="dxa" w:w="780"/>
          </w:tcPr>
          <w:p>
            <w:pPr>
              <w:keepLines w:val="1"/>
            </w:pPr>
            <w:r>
              <w:t>10</w:t>
            </w:r>
          </w:p>
        </w:tc>
        <w:tc>
          <w:tcPr>
            <w:tcW w:type="dxa" w:w="780"/>
          </w:tcPr>
          <w:p>
            <w:pPr>
              <w:keepLines w:val="1"/>
            </w:pPr>
            <w:r>
              <w:t>7</w:t>
            </w:r>
          </w:p>
        </w:tc>
        <w:tc>
          <w:tcPr>
            <w:tcW w:type="dxa" w:w="780"/>
          </w:tcPr>
          <w:p>
            <w:pPr>
              <w:keepLines w:val="1"/>
            </w:pPr>
            <w:r>
              <w:t>8</w:t>
            </w:r>
          </w:p>
        </w:tc>
        <w:tc>
          <w:tcPr>
            <w:tcW w:type="dxa" w:w="780"/>
          </w:tcPr>
          <w:p>
            <w:pPr>
              <w:keepLines w:val="1"/>
            </w:pPr>
            <w:r>
              <w:t>8</w:t>
            </w:r>
          </w:p>
        </w:tc>
        <w:tc>
          <w:tcPr>
            <w:tcW w:type="dxa" w:w="780"/>
          </w:tcPr>
          <w:p>
            <w:pPr>
              <w:keepLines w:val="1"/>
            </w:pPr>
            <w:r>
              <w:t>7</w:t>
            </w:r>
          </w:p>
        </w:tc>
        <w:tc>
          <w:tcPr>
            <w:tcW w:type="dxa" w:w="780"/>
          </w:tcPr>
          <w:p>
            <w:pPr>
              <w:keepLines w:val="1"/>
            </w:pPr>
            <w:r>
              <w:t>76</w:t>
            </w:r>
          </w:p>
        </w:tc>
        <w:tc>
          <w:tcPr>
            <w:tcW w:type="dxa" w:w="780"/>
          </w:tcPr>
          <w:p>
            <w:pPr>
              <w:keepLines w:val="1"/>
            </w:pPr>
            <w:r>
              <w:t>Indicador estrella de capacidad de respuesta. Fuertemente predictivo (quien parchea rápido hoy lo hará mañana), muy relevante y directamente accionable mediante SLAs, campañas y regulación. Precisión moderada si las fechas de cierre no están bien registradas, pero suficiente.</w:t>
            </w:r>
          </w:p>
        </w:tc>
      </w:tr>
    </w:tbl>
    <w:p/>
    <w:p>
      <w:pPr>
        <w:pStyle w:val="Heading3"/>
        <w:keepNext/>
        <w:keepLines/>
      </w:pPr>
      <w:r>
        <w:t>R2 – % de KEV remediadas dentro del plazo objetivo</w:t>
      </w:r>
    </w:p>
    <w:p>
      <w:r>
        <w:rPr>
          <w:b/>
        </w:rPr>
        <w:t>Definición</w:t>
      </w:r>
      <w:r>
        <w:t>: Nº de KEV remediadas antes de la fecha límite (CISA u objetivo nacional equivalente) / Nº total de KEV observadas.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R2: % de KEV remediadas en plazo</w:t>
            </w:r>
          </w:p>
        </w:tc>
        <w:tc>
          <w:tcPr>
            <w:tcW w:type="dxa" w:w="780"/>
          </w:tcPr>
          <w:p>
            <w:pPr>
              <w:keepLines w:val="1"/>
            </w:pPr>
            <w:r>
              <w:t>9</w:t>
            </w:r>
          </w:p>
        </w:tc>
        <w:tc>
          <w:tcPr>
            <w:tcW w:type="dxa" w:w="780"/>
          </w:tcPr>
          <w:p>
            <w:pPr>
              <w:keepLines w:val="1"/>
            </w:pPr>
            <w:r>
              <w:t>10</w:t>
            </w:r>
          </w:p>
        </w:tc>
        <w:tc>
          <w:tcPr>
            <w:tcW w:type="dxa" w:w="780"/>
          </w:tcPr>
          <w:p>
            <w:pPr>
              <w:keepLines w:val="1"/>
            </w:pPr>
            <w:r>
              <w:t>9</w:t>
            </w:r>
          </w:p>
        </w:tc>
        <w:tc>
          <w:tcPr>
            <w:tcW w:type="dxa" w:w="780"/>
          </w:tcPr>
          <w:p>
            <w:pPr>
              <w:keepLines w:val="1"/>
            </w:pPr>
            <w:r>
              <w:t>8</w:t>
            </w:r>
          </w:p>
        </w:tc>
        <w:tc>
          <w:tcPr>
            <w:tcW w:type="dxa" w:w="780"/>
          </w:tcPr>
          <w:p>
            <w:pPr>
              <w:keepLines w:val="1"/>
            </w:pPr>
            <w:r>
              <w:t>10</w:t>
            </w:r>
          </w:p>
        </w:tc>
        <w:tc>
          <w:tcPr>
            <w:tcW w:type="dxa" w:w="780"/>
          </w:tcPr>
          <w:p>
            <w:pPr>
              <w:keepLines w:val="1"/>
            </w:pPr>
            <w:r>
              <w:t>7</w:t>
            </w:r>
          </w:p>
        </w:tc>
        <w:tc>
          <w:tcPr>
            <w:tcW w:type="dxa" w:w="780"/>
          </w:tcPr>
          <w:p>
            <w:pPr>
              <w:keepLines w:val="1"/>
            </w:pPr>
            <w:r>
              <w:t>8</w:t>
            </w:r>
          </w:p>
        </w:tc>
        <w:tc>
          <w:tcPr>
            <w:tcW w:type="dxa" w:w="780"/>
          </w:tcPr>
          <w:p>
            <w:pPr>
              <w:keepLines w:val="1"/>
            </w:pPr>
            <w:r>
              <w:t>9</w:t>
            </w:r>
          </w:p>
        </w:tc>
        <w:tc>
          <w:tcPr>
            <w:tcW w:type="dxa" w:w="780"/>
          </w:tcPr>
          <w:p>
            <w:pPr>
              <w:keepLines w:val="1"/>
            </w:pPr>
            <w:r>
              <w:t>8</w:t>
            </w:r>
          </w:p>
        </w:tc>
        <w:tc>
          <w:tcPr>
            <w:tcW w:type="dxa" w:w="780"/>
          </w:tcPr>
          <w:p>
            <w:pPr>
              <w:keepLines w:val="1"/>
            </w:pPr>
            <w:r>
              <w:t>78</w:t>
            </w:r>
          </w:p>
        </w:tc>
        <w:tc>
          <w:tcPr>
            <w:tcW w:type="dxa" w:w="780"/>
          </w:tcPr>
          <w:p>
            <w:pPr>
              <w:keepLines w:val="1"/>
            </w:pPr>
            <w:r>
              <w:t>Métrica casi «de manual» para supervisión regulatoria. Permite fijar objetivos claros, comparables con modelos como BOD 22‑01. Ligeramente exigente en integración de datos, pero muy coste‑efectiva.</w:t>
            </w:r>
          </w:p>
        </w:tc>
      </w:tr>
    </w:tbl>
    <w:p/>
    <w:p>
      <w:pPr>
        <w:pStyle w:val="Heading3"/>
        <w:keepNext/>
        <w:keepLines/>
      </w:pPr>
      <w:r>
        <w:t>R3 – % de dispositivos perimetrales críticos con KEV abiertas</w:t>
      </w:r>
    </w:p>
    <w:p>
      <w:r>
        <w:rPr>
          <w:b/>
        </w:rPr>
        <w:t>Definición</w:t>
      </w:r>
      <w:r>
        <w:t>: Nº de dispositivos perimetrales expuestos con alguna KEV abierta / Nº total de dispositivos perimetrales expuestos inventariados.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R3: % de dispositivos perimetrales con KEV abiertas</w:t>
            </w:r>
          </w:p>
        </w:tc>
        <w:tc>
          <w:tcPr>
            <w:tcW w:type="dxa" w:w="780"/>
          </w:tcPr>
          <w:p>
            <w:pPr>
              <w:keepLines w:val="1"/>
            </w:pPr>
            <w:r>
              <w:t>8</w:t>
            </w:r>
          </w:p>
        </w:tc>
        <w:tc>
          <w:tcPr>
            <w:tcW w:type="dxa" w:w="780"/>
          </w:tcPr>
          <w:p>
            <w:pPr>
              <w:keepLines w:val="1"/>
            </w:pPr>
            <w:r>
              <w:t>10</w:t>
            </w:r>
          </w:p>
        </w:tc>
        <w:tc>
          <w:tcPr>
            <w:tcW w:type="dxa" w:w="780"/>
          </w:tcPr>
          <w:p>
            <w:pPr>
              <w:keepLines w:val="1"/>
            </w:pPr>
            <w:r>
              <w:t>9</w:t>
            </w:r>
          </w:p>
        </w:tc>
        <w:tc>
          <w:tcPr>
            <w:tcW w:type="dxa" w:w="780"/>
          </w:tcPr>
          <w:p>
            <w:pPr>
              <w:keepLines w:val="1"/>
            </w:pPr>
            <w:r>
              <w:t>8</w:t>
            </w:r>
          </w:p>
        </w:tc>
        <w:tc>
          <w:tcPr>
            <w:tcW w:type="dxa" w:w="780"/>
          </w:tcPr>
          <w:p>
            <w:pPr>
              <w:keepLines w:val="1"/>
            </w:pPr>
            <w:r>
              <w:t>10</w:t>
            </w:r>
          </w:p>
        </w:tc>
        <w:tc>
          <w:tcPr>
            <w:tcW w:type="dxa" w:w="780"/>
          </w:tcPr>
          <w:p>
            <w:pPr>
              <w:keepLines w:val="1"/>
            </w:pPr>
            <w:r>
              <w:t>7</w:t>
            </w:r>
          </w:p>
        </w:tc>
        <w:tc>
          <w:tcPr>
            <w:tcW w:type="dxa" w:w="780"/>
          </w:tcPr>
          <w:p>
            <w:pPr>
              <w:keepLines w:val="1"/>
            </w:pPr>
            <w:r>
              <w:t>8</w:t>
            </w:r>
          </w:p>
        </w:tc>
        <w:tc>
          <w:tcPr>
            <w:tcW w:type="dxa" w:w="780"/>
          </w:tcPr>
          <w:p>
            <w:pPr>
              <w:keepLines w:val="1"/>
            </w:pPr>
            <w:r>
              <w:t>8</w:t>
            </w:r>
          </w:p>
        </w:tc>
        <w:tc>
          <w:tcPr>
            <w:tcW w:type="dxa" w:w="780"/>
          </w:tcPr>
          <w:p>
            <w:pPr>
              <w:keepLines w:val="1"/>
            </w:pPr>
            <w:r>
              <w:t>7</w:t>
            </w:r>
          </w:p>
        </w:tc>
        <w:tc>
          <w:tcPr>
            <w:tcW w:type="dxa" w:w="780"/>
          </w:tcPr>
          <w:p>
            <w:pPr>
              <w:keepLines w:val="1"/>
            </w:pPr>
            <w:r>
              <w:t>75</w:t>
            </w:r>
          </w:p>
        </w:tc>
        <w:tc>
          <w:tcPr>
            <w:tcW w:type="dxa" w:w="780"/>
          </w:tcPr>
          <w:p>
            <w:pPr>
              <w:keepLines w:val="1"/>
            </w:pPr>
            <w:r>
              <w:t>Métrica muy alineada con los patrones reales de explotación (foco en perímetro). Altamente relevante y accionable: permite lanzar programas específicos sobre VPNs, firewalls, pasarelas, etc. Requiere buen inventario, pero ese esfuerzo ya es, en sí mismo, una mejora.</w:t>
            </w:r>
          </w:p>
        </w:tc>
      </w:tr>
    </w:tbl>
    <w:p/>
    <w:p>
      <w:pPr>
        <w:pStyle w:val="Heading2"/>
        <w:keepNext/>
        <w:keepLines/>
      </w:pPr>
      <w:r>
        <w:rPr>
          <w:color w:val="0066CC"/>
        </w:rPr>
        <w:t>3. Indicadores de Impacto</w:t>
      </w:r>
    </w:p>
    <w:p>
      <w:pPr>
        <w:pStyle w:val="Heading3"/>
        <w:keepNext/>
        <w:keepLines/>
      </w:pPr>
      <w:r>
        <w:t>I1 – % de incidentes significativos vinculados a KEV</w:t>
      </w:r>
    </w:p>
    <w:p>
      <w:r>
        <w:rPr>
          <w:b/>
        </w:rPr>
        <w:t>Definición</w:t>
      </w:r>
      <w:r>
        <w:t>: Nº de incidentes de gravedad alta/muy alta en los que el vector inicial o de escalada explotó una CVE incluida en KEV / Nº total de incidentes de esa gravedad.</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I1: % de incidentes graves asociados a KEV</w:t>
            </w:r>
          </w:p>
        </w:tc>
        <w:tc>
          <w:tcPr>
            <w:tcW w:type="dxa" w:w="780"/>
          </w:tcPr>
          <w:p>
            <w:pPr>
              <w:keepLines w:val="1"/>
            </w:pPr>
            <w:r>
              <w:t>8</w:t>
            </w:r>
          </w:p>
        </w:tc>
        <w:tc>
          <w:tcPr>
            <w:tcW w:type="dxa" w:w="780"/>
          </w:tcPr>
          <w:p>
            <w:pPr>
              <w:keepLines w:val="1"/>
            </w:pPr>
            <w:r>
              <w:t>10</w:t>
            </w:r>
          </w:p>
        </w:tc>
        <w:tc>
          <w:tcPr>
            <w:tcW w:type="dxa" w:w="780"/>
          </w:tcPr>
          <w:p>
            <w:pPr>
              <w:keepLines w:val="1"/>
            </w:pPr>
            <w:r>
              <w:t>8</w:t>
            </w:r>
          </w:p>
        </w:tc>
        <w:tc>
          <w:tcPr>
            <w:tcW w:type="dxa" w:w="780"/>
          </w:tcPr>
          <w:p>
            <w:pPr>
              <w:keepLines w:val="1"/>
            </w:pPr>
            <w:r>
              <w:t>7</w:t>
            </w:r>
          </w:p>
        </w:tc>
        <w:tc>
          <w:tcPr>
            <w:tcW w:type="dxa" w:w="780"/>
          </w:tcPr>
          <w:p>
            <w:pPr>
              <w:keepLines w:val="1"/>
            </w:pPr>
            <w:r>
              <w:t>10</w:t>
            </w:r>
          </w:p>
        </w:tc>
        <w:tc>
          <w:tcPr>
            <w:tcW w:type="dxa" w:w="780"/>
          </w:tcPr>
          <w:p>
            <w:pPr>
              <w:keepLines w:val="1"/>
            </w:pPr>
            <w:r>
              <w:t>6</w:t>
            </w:r>
          </w:p>
        </w:tc>
        <w:tc>
          <w:tcPr>
            <w:tcW w:type="dxa" w:w="780"/>
          </w:tcPr>
          <w:p>
            <w:pPr>
              <w:keepLines w:val="1"/>
            </w:pPr>
            <w:r>
              <w:t>7</w:t>
            </w:r>
          </w:p>
        </w:tc>
        <w:tc>
          <w:tcPr>
            <w:tcW w:type="dxa" w:w="780"/>
          </w:tcPr>
          <w:p>
            <w:pPr>
              <w:keepLines w:val="1"/>
            </w:pPr>
            <w:r>
              <w:t>8</w:t>
            </w:r>
          </w:p>
        </w:tc>
        <w:tc>
          <w:tcPr>
            <w:tcW w:type="dxa" w:w="780"/>
          </w:tcPr>
          <w:p>
            <w:pPr>
              <w:keepLines w:val="1"/>
            </w:pPr>
            <w:r>
              <w:t>7</w:t>
            </w:r>
          </w:p>
        </w:tc>
        <w:tc>
          <w:tcPr>
            <w:tcW w:type="dxa" w:w="780"/>
          </w:tcPr>
          <w:p>
            <w:pPr>
              <w:keepLines w:val="1"/>
            </w:pPr>
            <w:r>
              <w:t>71</w:t>
            </w:r>
          </w:p>
        </w:tc>
        <w:tc>
          <w:tcPr>
            <w:tcW w:type="dxa" w:w="780"/>
          </w:tcPr>
          <w:p>
            <w:pPr>
              <w:keepLines w:val="1"/>
            </w:pPr>
            <w:r>
              <w:t>Métrica poderosa para comunicar impacto real («no son teorías, son incidentes»). Algo menos precisa, porque depende de buen etiquetado de causas en los registros de incidentes, pero el valor estratégico compensa el esfuerzo.</w:t>
            </w:r>
          </w:p>
        </w:tc>
      </w:tr>
    </w:tbl>
    <w:p/>
    <w:p>
      <w:pPr>
        <w:pStyle w:val="Heading3"/>
        <w:keepNext/>
        <w:keepLines/>
      </w:pPr>
      <w:r>
        <w:t>I2 – Incidentes KEV por millón de habitantes / por mil organizaciones</w:t>
      </w:r>
    </w:p>
    <w:p>
      <w:r>
        <w:rPr>
          <w:b/>
        </w:rPr>
        <w:t>Definición</w:t>
      </w:r>
      <w:r>
        <w:t>: Nº de incidentes graves relacionados con KEV normalizado por población o por número de organizaciones.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I2: Tasa de incidentes KEV normalizada</w:t>
            </w:r>
          </w:p>
        </w:tc>
        <w:tc>
          <w:tcPr>
            <w:tcW w:type="dxa" w:w="780"/>
          </w:tcPr>
          <w:p>
            <w:pPr>
              <w:keepLines w:val="1"/>
            </w:pPr>
            <w:r>
              <w:t>7</w:t>
            </w:r>
          </w:p>
        </w:tc>
        <w:tc>
          <w:tcPr>
            <w:tcW w:type="dxa" w:w="780"/>
          </w:tcPr>
          <w:p>
            <w:pPr>
              <w:keepLines w:val="1"/>
            </w:pPr>
            <w:r>
              <w:t>9</w:t>
            </w:r>
          </w:p>
        </w:tc>
        <w:tc>
          <w:tcPr>
            <w:tcW w:type="dxa" w:w="780"/>
          </w:tcPr>
          <w:p>
            <w:pPr>
              <w:keepLines w:val="1"/>
            </w:pPr>
            <w:r>
              <w:t>7</w:t>
            </w:r>
          </w:p>
        </w:tc>
        <w:tc>
          <w:tcPr>
            <w:tcW w:type="dxa" w:w="780"/>
          </w:tcPr>
          <w:p>
            <w:pPr>
              <w:keepLines w:val="1"/>
            </w:pPr>
            <w:r>
              <w:t>7</w:t>
            </w:r>
          </w:p>
        </w:tc>
        <w:tc>
          <w:tcPr>
            <w:tcW w:type="dxa" w:w="780"/>
          </w:tcPr>
          <w:p>
            <w:pPr>
              <w:keepLines w:val="1"/>
            </w:pPr>
            <w:r>
              <w:t>9</w:t>
            </w:r>
          </w:p>
        </w:tc>
        <w:tc>
          <w:tcPr>
            <w:tcW w:type="dxa" w:w="780"/>
          </w:tcPr>
          <w:p>
            <w:pPr>
              <w:keepLines w:val="1"/>
            </w:pPr>
            <w:r>
              <w:t>6</w:t>
            </w:r>
          </w:p>
        </w:tc>
        <w:tc>
          <w:tcPr>
            <w:tcW w:type="dxa" w:w="780"/>
          </w:tcPr>
          <w:p>
            <w:pPr>
              <w:keepLines w:val="1"/>
            </w:pPr>
            <w:r>
              <w:t>7</w:t>
            </w:r>
          </w:p>
        </w:tc>
        <w:tc>
          <w:tcPr>
            <w:tcW w:type="dxa" w:w="780"/>
          </w:tcPr>
          <w:p>
            <w:pPr>
              <w:keepLines w:val="1"/>
            </w:pPr>
            <w:r>
              <w:t>9</w:t>
            </w:r>
          </w:p>
        </w:tc>
        <w:tc>
          <w:tcPr>
            <w:tcW w:type="dxa" w:w="780"/>
          </w:tcPr>
          <w:p>
            <w:pPr>
              <w:keepLines w:val="1"/>
            </w:pPr>
            <w:r>
              <w:t>7</w:t>
            </w:r>
          </w:p>
        </w:tc>
        <w:tc>
          <w:tcPr>
            <w:tcW w:type="dxa" w:w="780"/>
          </w:tcPr>
          <w:p>
            <w:pPr>
              <w:keepLines w:val="1"/>
            </w:pPr>
            <w:r>
              <w:t>68</w:t>
            </w:r>
          </w:p>
        </w:tc>
        <w:tc>
          <w:tcPr>
            <w:tcW w:type="dxa" w:w="780"/>
          </w:tcPr>
          <w:p>
            <w:pPr>
              <w:keepLines w:val="1"/>
            </w:pPr>
            <w:r>
              <w:t>Muy útil para comparaciones entre países y regiones, y para justificar programas específicos. Menos directamente accionable a nivel micro, pero excelente para macro‑política pública. Precisión dependiente del censo de referencia y de la calidad del registro de incidentes.</w:t>
            </w:r>
          </w:p>
        </w:tc>
      </w:tr>
    </w:tbl>
    <w:p/>
    <w:p>
      <w:pPr>
        <w:pStyle w:val="Heading3"/>
        <w:keepNext/>
        <w:keepLines/>
      </w:pPr>
      <w:r>
        <w:t>I3 – Incidentes KEV en infraestructuras críticas</w:t>
      </w:r>
    </w:p>
    <w:p>
      <w:r>
        <w:rPr>
          <w:b/>
        </w:rPr>
        <w:t>Definición</w:t>
      </w:r>
      <w:r>
        <w:t>: Nº de incidentes significativos relacionados con KEV en operadores de servicios esenciales/importantes (NIS2, sectores ENS críticos) / Nº total de incidentes significativos en esos sectores.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P2</w:t>
            </w:r>
          </w:p>
        </w:tc>
        <w:tc>
          <w:tcPr>
            <w:tcW w:type="dxa" w:w="780"/>
            <w:shd w:fill="0033CC"/>
          </w:tcPr>
          <w:p>
            <w:pPr>
              <w:keepLines w:val="1"/>
              <w:keepNext w:val="1"/>
            </w:pPr>
            <w:r>
              <w:rPr>
                <w:b/>
                <w:color w:val="FFFFFF"/>
              </w:rPr>
              <w:t>O</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Comentario global</w:t>
            </w:r>
          </w:p>
        </w:tc>
      </w:tr>
      <w:tr>
        <w:trPr>
          <w:cantSplit w:val="1"/>
        </w:trPr>
        <w:tc>
          <w:tcPr>
            <w:tcW w:type="dxa" w:w="780"/>
          </w:tcPr>
          <w:p>
            <w:pPr>
              <w:keepLines w:val="1"/>
            </w:pPr>
            <w:r>
              <w:t>I3: Incidentes KEV en infraestructuras críticas</w:t>
            </w:r>
          </w:p>
        </w:tc>
        <w:tc>
          <w:tcPr>
            <w:tcW w:type="dxa" w:w="780"/>
          </w:tcPr>
          <w:p>
            <w:pPr>
              <w:keepLines w:val="1"/>
            </w:pPr>
            <w:r>
              <w:t>9</w:t>
            </w:r>
          </w:p>
        </w:tc>
        <w:tc>
          <w:tcPr>
            <w:tcW w:type="dxa" w:w="780"/>
          </w:tcPr>
          <w:p>
            <w:pPr>
              <w:keepLines w:val="1"/>
            </w:pPr>
            <w:r>
              <w:t>10</w:t>
            </w:r>
          </w:p>
        </w:tc>
        <w:tc>
          <w:tcPr>
            <w:tcW w:type="dxa" w:w="780"/>
          </w:tcPr>
          <w:p>
            <w:pPr>
              <w:keepLines w:val="1"/>
            </w:pPr>
            <w:r>
              <w:t>9</w:t>
            </w:r>
          </w:p>
        </w:tc>
        <w:tc>
          <w:tcPr>
            <w:tcW w:type="dxa" w:w="780"/>
          </w:tcPr>
          <w:p>
            <w:pPr>
              <w:keepLines w:val="1"/>
            </w:pPr>
            <w:r>
              <w:t>7</w:t>
            </w:r>
          </w:p>
        </w:tc>
        <w:tc>
          <w:tcPr>
            <w:tcW w:type="dxa" w:w="780"/>
          </w:tcPr>
          <w:p>
            <w:pPr>
              <w:keepLines w:val="1"/>
            </w:pPr>
            <w:r>
              <w:t>10</w:t>
            </w:r>
          </w:p>
        </w:tc>
        <w:tc>
          <w:tcPr>
            <w:tcW w:type="dxa" w:w="780"/>
          </w:tcPr>
          <w:p>
            <w:pPr>
              <w:keepLines w:val="1"/>
            </w:pPr>
            <w:r>
              <w:t>6</w:t>
            </w:r>
          </w:p>
        </w:tc>
        <w:tc>
          <w:tcPr>
            <w:tcW w:type="dxa" w:w="780"/>
          </w:tcPr>
          <w:p>
            <w:pPr>
              <w:keepLines w:val="1"/>
            </w:pPr>
            <w:r>
              <w:t>7</w:t>
            </w:r>
          </w:p>
        </w:tc>
        <w:tc>
          <w:tcPr>
            <w:tcW w:type="dxa" w:w="780"/>
          </w:tcPr>
          <w:p>
            <w:pPr>
              <w:keepLines w:val="1"/>
            </w:pPr>
            <w:r>
              <w:t>8</w:t>
            </w:r>
          </w:p>
        </w:tc>
        <w:tc>
          <w:tcPr>
            <w:tcW w:type="dxa" w:w="780"/>
          </w:tcPr>
          <w:p>
            <w:pPr>
              <w:keepLines w:val="1"/>
            </w:pPr>
            <w:r>
              <w:t>7</w:t>
            </w:r>
          </w:p>
        </w:tc>
        <w:tc>
          <w:tcPr>
            <w:tcW w:type="dxa" w:w="780"/>
          </w:tcPr>
          <w:p>
            <w:pPr>
              <w:keepLines w:val="1"/>
            </w:pPr>
            <w:r>
              <w:t>73</w:t>
            </w:r>
          </w:p>
        </w:tc>
        <w:tc>
          <w:tcPr>
            <w:tcW w:type="dxa" w:w="780"/>
          </w:tcPr>
          <w:p>
            <w:pPr>
              <w:keepLines w:val="1"/>
            </w:pPr>
            <w:r>
              <w:t>Métrica de alto impacto político y social. Directamente relacionada con resiliencia de servicios esenciales. Exige coordinación con CSIRTs sectoriales, pero el retorno en términos de priorización de recursos y regulación es muy alto.</w:t>
            </w:r>
          </w:p>
        </w:tc>
      </w:tr>
    </w:tbl>
    <w:p/>
    <w:p>
      <w:pPr>
        <w:pStyle w:val="Heading2"/>
        <w:keepNext/>
        <w:keepLines/>
      </w:pPr>
      <w:r>
        <w:rPr>
          <w:color w:val="0066CC"/>
        </w:rPr>
        <w:t>4. Resumen y priorización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Total PRAGMATIC</w:t>
            </w:r>
          </w:p>
        </w:tc>
        <w:tc>
          <w:tcPr>
            <w:tcW w:type="dxa" w:w="2340"/>
            <w:shd w:fill="0033CC"/>
          </w:tcPr>
          <w:p>
            <w:pPr>
              <w:keepLines w:val="1"/>
              <w:keepNext w:val="1"/>
            </w:pPr>
            <w:r>
              <w:rPr>
                <w:b/>
                <w:color w:val="FFFFFF"/>
              </w:rPr>
              <w:t>Prioridad recomendada</w:t>
            </w:r>
          </w:p>
        </w:tc>
      </w:tr>
      <w:tr>
        <w:trPr>
          <w:cantSplit w:val="1"/>
        </w:trPr>
        <w:tc>
          <w:tcPr>
            <w:tcW w:type="dxa" w:w="2340"/>
          </w:tcPr>
          <w:p>
            <w:pPr>
              <w:keepLines w:val="1"/>
              <w:keepNext w:val="1"/>
            </w:pPr>
            <w:r>
              <w:t>E1</w:t>
            </w:r>
          </w:p>
        </w:tc>
        <w:tc>
          <w:tcPr>
            <w:tcW w:type="dxa" w:w="2340"/>
          </w:tcPr>
          <w:p>
            <w:pPr>
              <w:keepLines w:val="1"/>
              <w:keepNext w:val="1"/>
            </w:pPr>
            <w:r>
              <w:t>% de organizaciones con ≥1 KEV expuesta</w:t>
            </w:r>
          </w:p>
        </w:tc>
        <w:tc>
          <w:tcPr>
            <w:tcW w:type="dxa" w:w="2340"/>
          </w:tcPr>
          <w:p>
            <w:pPr>
              <w:keepLines w:val="1"/>
              <w:keepNext w:val="1"/>
            </w:pPr>
            <w:r>
              <w:t>78</w:t>
            </w:r>
          </w:p>
        </w:tc>
        <w:tc>
          <w:tcPr>
            <w:tcW w:type="dxa" w:w="2340"/>
          </w:tcPr>
          <w:p>
            <w:pPr>
              <w:keepLines w:val="1"/>
              <w:keepNext w:val="1"/>
            </w:pPr>
            <w:r>
              <w:t>Muy alta – indicador estructural de exposición nacional.</w:t>
            </w:r>
          </w:p>
        </w:tc>
      </w:tr>
      <w:tr>
        <w:trPr>
          <w:cantSplit w:val="1"/>
        </w:trPr>
        <w:tc>
          <w:tcPr>
            <w:tcW w:type="dxa" w:w="2340"/>
          </w:tcPr>
          <w:p>
            <w:pPr>
              <w:keepLines w:val="1"/>
              <w:keepNext w:val="1"/>
            </w:pPr>
            <w:r>
              <w:t>E2</w:t>
            </w:r>
          </w:p>
        </w:tc>
        <w:tc>
          <w:tcPr>
            <w:tcW w:type="dxa" w:w="2340"/>
          </w:tcPr>
          <w:p>
            <w:pPr>
              <w:keepLines w:val="1"/>
              <w:keepNext w:val="1"/>
            </w:pPr>
            <w:r>
              <w:t>Densidad media de KEV por organización</w:t>
            </w:r>
          </w:p>
        </w:tc>
        <w:tc>
          <w:tcPr>
            <w:tcW w:type="dxa" w:w="2340"/>
          </w:tcPr>
          <w:p>
            <w:pPr>
              <w:keepLines w:val="1"/>
              <w:keepNext w:val="1"/>
            </w:pPr>
            <w:r>
              <w:t>71</w:t>
            </w:r>
          </w:p>
        </w:tc>
        <w:tc>
          <w:tcPr>
            <w:tcW w:type="dxa" w:w="2340"/>
          </w:tcPr>
          <w:p>
            <w:pPr>
              <w:keepLines w:val="1"/>
              <w:keepNext w:val="1"/>
            </w:pPr>
            <w:r>
              <w:t>Alta – refina y matiza E1, útil para segmentar.</w:t>
            </w:r>
          </w:p>
        </w:tc>
      </w:tr>
      <w:tr>
        <w:trPr>
          <w:cantSplit w:val="1"/>
        </w:trPr>
        <w:tc>
          <w:tcPr>
            <w:tcW w:type="dxa" w:w="2340"/>
          </w:tcPr>
          <w:p>
            <w:pPr>
              <w:keepLines w:val="1"/>
              <w:keepNext w:val="1"/>
            </w:pPr>
            <w:r>
              <w:t>E3</w:t>
            </w:r>
          </w:p>
        </w:tc>
        <w:tc>
          <w:tcPr>
            <w:tcW w:type="dxa" w:w="2340"/>
          </w:tcPr>
          <w:p>
            <w:pPr>
              <w:keepLines w:val="1"/>
              <w:keepNext w:val="1"/>
            </w:pPr>
            <w:r>
              <w:t>% de KEV por tipo de tecnología</w:t>
            </w:r>
          </w:p>
        </w:tc>
        <w:tc>
          <w:tcPr>
            <w:tcW w:type="dxa" w:w="2340"/>
          </w:tcPr>
          <w:p>
            <w:pPr>
              <w:keepLines w:val="1"/>
              <w:keepNext w:val="1"/>
            </w:pPr>
            <w:r>
              <w:t>71</w:t>
            </w:r>
          </w:p>
        </w:tc>
        <w:tc>
          <w:tcPr>
            <w:tcW w:type="dxa" w:w="2340"/>
          </w:tcPr>
          <w:p>
            <w:pPr>
              <w:keepLines w:val="1"/>
              <w:keepNext w:val="1"/>
            </w:pPr>
            <w:r>
              <w:t>Alta – guía focos tecnológicos de política y ayuda sectorial.</w:t>
            </w:r>
          </w:p>
        </w:tc>
      </w:tr>
      <w:tr>
        <w:trPr>
          <w:cantSplit w:val="1"/>
        </w:trPr>
        <w:tc>
          <w:tcPr>
            <w:tcW w:type="dxa" w:w="2340"/>
          </w:tcPr>
          <w:p>
            <w:pPr>
              <w:keepLines w:val="1"/>
              <w:keepNext w:val="1"/>
            </w:pPr>
            <w:r>
              <w:t>R1</w:t>
            </w:r>
          </w:p>
        </w:tc>
        <w:tc>
          <w:tcPr>
            <w:tcW w:type="dxa" w:w="2340"/>
          </w:tcPr>
          <w:p>
            <w:pPr>
              <w:keepLines w:val="1"/>
              <w:keepNext w:val="1"/>
            </w:pPr>
            <w:r>
              <w:t>Mediana de días de remediación KEV</w:t>
            </w:r>
          </w:p>
        </w:tc>
        <w:tc>
          <w:tcPr>
            <w:tcW w:type="dxa" w:w="2340"/>
          </w:tcPr>
          <w:p>
            <w:pPr>
              <w:keepLines w:val="1"/>
              <w:keepNext w:val="1"/>
            </w:pPr>
            <w:r>
              <w:t>76</w:t>
            </w:r>
          </w:p>
        </w:tc>
        <w:tc>
          <w:tcPr>
            <w:tcW w:type="dxa" w:w="2340"/>
          </w:tcPr>
          <w:p>
            <w:pPr>
              <w:keepLines w:val="1"/>
              <w:keepNext w:val="1"/>
            </w:pPr>
            <w:r>
              <w:t>Muy alta – núcleo de la capacidad de respuesta.</w:t>
            </w:r>
          </w:p>
        </w:tc>
      </w:tr>
      <w:tr>
        <w:trPr>
          <w:cantSplit w:val="1"/>
        </w:trPr>
        <w:tc>
          <w:tcPr>
            <w:tcW w:type="dxa" w:w="2340"/>
          </w:tcPr>
          <w:p>
            <w:pPr>
              <w:keepLines w:val="1"/>
              <w:keepNext w:val="1"/>
            </w:pPr>
            <w:r>
              <w:t>R2</w:t>
            </w:r>
          </w:p>
        </w:tc>
        <w:tc>
          <w:tcPr>
            <w:tcW w:type="dxa" w:w="2340"/>
          </w:tcPr>
          <w:p>
            <w:pPr>
              <w:keepLines w:val="1"/>
              <w:keepNext w:val="1"/>
            </w:pPr>
            <w:r>
              <w:t>% de KEV remediadas dentro del plazo</w:t>
            </w:r>
          </w:p>
        </w:tc>
        <w:tc>
          <w:tcPr>
            <w:tcW w:type="dxa" w:w="2340"/>
          </w:tcPr>
          <w:p>
            <w:pPr>
              <w:keepLines w:val="1"/>
              <w:keepNext w:val="1"/>
            </w:pPr>
            <w:r>
              <w:t>78</w:t>
            </w:r>
          </w:p>
        </w:tc>
        <w:tc>
          <w:tcPr>
            <w:tcW w:type="dxa" w:w="2340"/>
          </w:tcPr>
          <w:p>
            <w:pPr>
              <w:keepLines w:val="1"/>
              <w:keepNext w:val="1"/>
            </w:pPr>
            <w:r>
              <w:t>Muy alta – métrica clave de cumplimiento/eficacia.</w:t>
            </w:r>
          </w:p>
        </w:tc>
      </w:tr>
      <w:tr>
        <w:trPr>
          <w:cantSplit w:val="1"/>
        </w:trPr>
        <w:tc>
          <w:tcPr>
            <w:tcW w:type="dxa" w:w="2340"/>
          </w:tcPr>
          <w:p>
            <w:pPr>
              <w:keepLines w:val="1"/>
              <w:keepNext w:val="1"/>
            </w:pPr>
            <w:r>
              <w:t>R3</w:t>
            </w:r>
          </w:p>
        </w:tc>
        <w:tc>
          <w:tcPr>
            <w:tcW w:type="dxa" w:w="2340"/>
          </w:tcPr>
          <w:p>
            <w:pPr>
              <w:keepLines w:val="1"/>
              <w:keepNext w:val="1"/>
            </w:pPr>
            <w:r>
              <w:t>% de dispositivos perimetrales con KEV abiertas</w:t>
            </w:r>
          </w:p>
        </w:tc>
        <w:tc>
          <w:tcPr>
            <w:tcW w:type="dxa" w:w="2340"/>
          </w:tcPr>
          <w:p>
            <w:pPr>
              <w:keepLines w:val="1"/>
              <w:keepNext w:val="1"/>
            </w:pPr>
            <w:r>
              <w:t>75</w:t>
            </w:r>
          </w:p>
        </w:tc>
        <w:tc>
          <w:tcPr>
            <w:tcW w:type="dxa" w:w="2340"/>
          </w:tcPr>
          <w:p>
            <w:pPr>
              <w:keepLines w:val="1"/>
              <w:keepNext w:val="1"/>
            </w:pPr>
            <w:r>
              <w:t>Muy alta – directamente alineada con patrón de ataque real.</w:t>
            </w:r>
          </w:p>
        </w:tc>
      </w:tr>
      <w:tr>
        <w:trPr>
          <w:cantSplit w:val="1"/>
        </w:trPr>
        <w:tc>
          <w:tcPr>
            <w:tcW w:type="dxa" w:w="2340"/>
          </w:tcPr>
          <w:p>
            <w:pPr>
              <w:keepLines w:val="1"/>
              <w:keepNext w:val="1"/>
            </w:pPr>
            <w:r>
              <w:t>I1</w:t>
            </w:r>
          </w:p>
        </w:tc>
        <w:tc>
          <w:tcPr>
            <w:tcW w:type="dxa" w:w="2340"/>
          </w:tcPr>
          <w:p>
            <w:pPr>
              <w:keepLines w:val="1"/>
              <w:keepNext w:val="1"/>
            </w:pPr>
            <w:r>
              <w:t>% de incidentes graves asociados a KEV</w:t>
            </w:r>
          </w:p>
        </w:tc>
        <w:tc>
          <w:tcPr>
            <w:tcW w:type="dxa" w:w="2340"/>
          </w:tcPr>
          <w:p>
            <w:pPr>
              <w:keepLines w:val="1"/>
              <w:keepNext w:val="1"/>
            </w:pPr>
            <w:r>
              <w:t>71</w:t>
            </w:r>
          </w:p>
        </w:tc>
        <w:tc>
          <w:tcPr>
            <w:tcW w:type="dxa" w:w="2340"/>
          </w:tcPr>
          <w:p>
            <w:pPr>
              <w:keepLines w:val="1"/>
              <w:keepNext w:val="1"/>
            </w:pPr>
            <w:r>
              <w:t>Alta – excelente para narrativa de riesgo y justificación de inversión.</w:t>
            </w:r>
          </w:p>
        </w:tc>
      </w:tr>
      <w:tr>
        <w:trPr>
          <w:cantSplit w:val="1"/>
        </w:trPr>
        <w:tc>
          <w:tcPr>
            <w:tcW w:type="dxa" w:w="2340"/>
          </w:tcPr>
          <w:p>
            <w:pPr>
              <w:keepLines w:val="1"/>
              <w:keepNext w:val="1"/>
            </w:pPr>
            <w:r>
              <w:t>I2</w:t>
            </w:r>
          </w:p>
        </w:tc>
        <w:tc>
          <w:tcPr>
            <w:tcW w:type="dxa" w:w="2340"/>
          </w:tcPr>
          <w:p>
            <w:pPr>
              <w:keepLines w:val="1"/>
              <w:keepNext w:val="1"/>
            </w:pPr>
            <w:r>
              <w:t>Tasa de incidentes KEV por población/organizaciones</w:t>
            </w:r>
          </w:p>
        </w:tc>
        <w:tc>
          <w:tcPr>
            <w:tcW w:type="dxa" w:w="2340"/>
          </w:tcPr>
          <w:p>
            <w:pPr>
              <w:keepLines w:val="1"/>
              <w:keepNext w:val="1"/>
            </w:pPr>
            <w:r>
              <w:t>68</w:t>
            </w:r>
          </w:p>
        </w:tc>
        <w:tc>
          <w:tcPr>
            <w:tcW w:type="dxa" w:w="2340"/>
          </w:tcPr>
          <w:p>
            <w:pPr>
              <w:keepLines w:val="1"/>
              <w:keepNext w:val="1"/>
            </w:pPr>
            <w:r>
              <w:t>Media‑alta – muy útil para benchmarking geográfico/sectorial.</w:t>
            </w:r>
          </w:p>
        </w:tc>
      </w:tr>
      <w:tr>
        <w:trPr>
          <w:cantSplit w:val="1"/>
        </w:trPr>
        <w:tc>
          <w:tcPr>
            <w:tcW w:type="dxa" w:w="2340"/>
          </w:tcPr>
          <w:p>
            <w:pPr>
              <w:keepLines w:val="1"/>
            </w:pPr>
            <w:r>
              <w:t>I3</w:t>
            </w:r>
          </w:p>
        </w:tc>
        <w:tc>
          <w:tcPr>
            <w:tcW w:type="dxa" w:w="2340"/>
          </w:tcPr>
          <w:p>
            <w:pPr>
              <w:keepLines w:val="1"/>
            </w:pPr>
            <w:r>
              <w:t>Incidentes KEV en infraestructuras críticas</w:t>
            </w:r>
          </w:p>
        </w:tc>
        <w:tc>
          <w:tcPr>
            <w:tcW w:type="dxa" w:w="2340"/>
          </w:tcPr>
          <w:p>
            <w:pPr>
              <w:keepLines w:val="1"/>
            </w:pPr>
            <w:r>
              <w:t>73</w:t>
            </w:r>
          </w:p>
        </w:tc>
        <w:tc>
          <w:tcPr>
            <w:tcW w:type="dxa" w:w="2340"/>
          </w:tcPr>
          <w:p>
            <w:pPr>
              <w:keepLines w:val="1"/>
            </w:pPr>
            <w:r>
              <w:t>Muy alta – foco regulatorio y de seguridad nacional.</w:t>
            </w:r>
          </w:p>
        </w:tc>
      </w:tr>
    </w:tbl>
    <w:p/>
    <w:p>
      <w:r>
        <w:t xml:space="preserve">En conjunto, el paquete de métricas E/R/I supera holgadamente el umbral de «métricas decentes» y se sitúa en la franja de </w:t>
      </w:r>
      <w:r>
        <w:rPr>
          <w:b/>
        </w:rPr>
        <w:t>métricas estratégicas</w:t>
      </w:r>
      <w:r>
        <w:t>: conectan con objetivos nacionales, se pueden accionar y, con una inversión razonable en datos, resultan sostenibles en el tiempo.</w:t>
      </w:r>
    </w:p>
    <w:p>
      <w:r>
        <w:t>Si en algún momento se siente tentado de añadir diez métricas más «porque ya que estamos…», puede pasar cada candidata por esta misma tabla PRAGMATIC. Si no pasa de 50 puntos, lo más probable es que acabe en el cajón de métricas decorativas, junto a esas gráficas que nadie mira pero quedan muy bien en la memoria USB.</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