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Plantilla de Excel para cálculo de IGM y ROI (versión KEV)</w:t>
      </w:r>
    </w:p>
    <w:p>
      <w:r>
        <w:t>Esta plantilla describe la estructura recomendada de un libro Excel para:</w:t>
      </w:r>
    </w:p>
    <w:p>
      <w:pPr>
        <w:pStyle w:val="ListBullet"/>
        <w:keepLines w:val="1"/>
        <w:keepNext w:val="1"/>
        <w:widowControl w:val="1"/>
      </w:pPr>
      <w:r>
        <w:t>Calcular el Índice Global de Madurez (IGM) y los subíndices por dimensión (GOV, VUL, PEN, SIEM, AWR, MET).</w:t>
      </w:r>
    </w:p>
    <w:p>
      <w:pPr>
        <w:pStyle w:val="ListBullet"/>
        <w:keepLines w:val="1"/>
        <w:keepNext w:val="1"/>
        <w:widowControl w:val="1"/>
      </w:pPr>
      <w:r>
        <w:t>Integrar la lógica GQM+PRAGMATIC.</w:t>
      </w:r>
    </w:p>
    <w:p>
      <w:pPr>
        <w:pStyle w:val="ListBullet"/>
        <w:keepLines w:val="1"/>
        <w:widowControl w:val="1"/>
      </w:pPr>
      <w:r>
        <w:t>Facilitar la estimación del ROI de iniciativas de mejora centradas en KEV y gestión de vulnerabilidades.</w:t>
      </w:r>
    </w:p>
    <w:p>
      <w:r>
        <w:t>No contiene macros ni fórmulas exóticas: todo puede hacerse con funciones estándar de Excel (SUMAPRODUCTO, PROMEDIO, SUMA, etc.).</w:t>
      </w:r>
    </w:p>
    <w:p>
      <w:pPr>
        <w:pStyle w:val="Heading2"/>
        <w:keepNext/>
        <w:keepLines/>
      </w:pPr>
      <w:r>
        <w:rPr>
          <w:color w:val="0066CC"/>
        </w:rPr>
        <w:t>1. Hojas recomendadas</w:t>
      </w:r>
    </w:p>
    <w:p>
      <w:pPr>
        <w:pStyle w:val="ListNumber"/>
        <w:keepLines w:val="1"/>
        <w:keepNext w:val="1"/>
        <w:widowControl w:val="1"/>
      </w:pPr>
      <w:r>
        <w:t>Diccionario</w:t>
      </w:r>
    </w:p>
    <w:p>
      <w:pPr>
        <w:pStyle w:val="ListNumber"/>
        <w:keepLines w:val="1"/>
        <w:keepNext w:val="1"/>
        <w:widowControl w:val="1"/>
      </w:pPr>
      <w:r>
        <w:t>Respuestas</w:t>
      </w:r>
    </w:p>
    <w:p>
      <w:pPr>
        <w:pStyle w:val="ListNumber"/>
        <w:keepLines w:val="1"/>
        <w:keepNext w:val="1"/>
        <w:widowControl w:val="1"/>
      </w:pPr>
      <w:r>
        <w:t>Ponderaciones</w:t>
      </w:r>
    </w:p>
    <w:p>
      <w:pPr>
        <w:pStyle w:val="ListNumber"/>
        <w:keepLines w:val="1"/>
        <w:keepNext w:val="1"/>
        <w:widowControl w:val="1"/>
      </w:pPr>
      <w:r>
        <w:t>IGM_Organizaciones</w:t>
      </w:r>
    </w:p>
    <w:p>
      <w:pPr>
        <w:pStyle w:val="ListNumber"/>
        <w:keepLines w:val="1"/>
        <w:keepNext w:val="1"/>
        <w:widowControl w:val="1"/>
      </w:pPr>
      <w:r>
        <w:t>Resumen_Segmentos</w:t>
      </w:r>
    </w:p>
    <w:p>
      <w:pPr>
        <w:pStyle w:val="ListNumber"/>
        <w:keepLines w:val="1"/>
        <w:keepNext w:val="1"/>
        <w:widowControl w:val="1"/>
      </w:pPr>
      <w:r>
        <w:t>ROI</w:t>
      </w:r>
    </w:p>
    <w:p>
      <w:pPr>
        <w:pStyle w:val="ListNumber"/>
        <w:keepLines w:val="1"/>
        <w:widowControl w:val="1"/>
      </w:pPr>
      <w:r>
        <w:t>(Opcional) PRAGMATIC – resumen de puntuación PRAGMATIC por métrica.</w:t>
      </w:r>
    </w:p>
    <w:p>
      <w:pPr>
        <w:pStyle w:val="Heading2"/>
        <w:keepNext/>
        <w:keepLines/>
      </w:pPr>
      <w:r>
        <w:rPr>
          <w:color w:val="0066CC"/>
        </w:rPr>
        <w:t>2. Hoja «Diccionario»</w:t>
      </w:r>
    </w:p>
    <w:p>
      <w:r>
        <w:t>Contiene el inventario de preguntas de la encuesta.</w:t>
      </w:r>
    </w:p>
    <w:p>
      <w:r>
        <w:rPr>
          <w:b/>
        </w:rPr>
        <w:t>Columnas sugeridas: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Columna</w:t>
            </w:r>
          </w:p>
        </w:tc>
        <w:tc>
          <w:tcPr>
            <w:tcW w:type="dxa" w:w="4680"/>
            <w:shd w:fill="0033CC"/>
          </w:tcPr>
          <w:p>
            <w:pPr>
              <w:keepLines w:val="1"/>
              <w:keepNext w:val="1"/>
            </w:pPr>
            <w:r>
              <w:rPr>
                <w:b/>
                <w:color w:val="FFFFFF"/>
              </w:rPr>
              <w:t>Contenido</w:t>
            </w:r>
          </w:p>
        </w:tc>
      </w:tr>
      <w:tr>
        <w:trPr>
          <w:cantSplit w:val="1"/>
        </w:trPr>
        <w:tc>
          <w:tcPr>
            <w:tcW w:type="dxa" w:w="4680"/>
          </w:tcPr>
          <w:p>
            <w:pPr>
              <w:keepLines w:val="1"/>
              <w:keepNext w:val="1"/>
            </w:pPr>
            <w:r>
              <w:t>A: ID_Pregunta</w:t>
            </w:r>
          </w:p>
        </w:tc>
        <w:tc>
          <w:tcPr>
            <w:tcW w:type="dxa" w:w="4680"/>
          </w:tcPr>
          <w:p>
            <w:pPr>
              <w:keepLines w:val="1"/>
              <w:keepNext w:val="1"/>
            </w:pPr>
            <w:r>
              <w:t>Código único (PERF-01, GOV-01, VUL-01, etc.).</w:t>
            </w:r>
          </w:p>
        </w:tc>
      </w:tr>
      <w:tr>
        <w:trPr>
          <w:cantSplit w:val="1"/>
        </w:trPr>
        <w:tc>
          <w:tcPr>
            <w:tcW w:type="dxa" w:w="4680"/>
          </w:tcPr>
          <w:p>
            <w:pPr>
              <w:keepLines w:val="1"/>
              <w:keepNext w:val="1"/>
            </w:pPr>
            <w:r>
              <w:t>B: Bloque</w:t>
            </w:r>
          </w:p>
        </w:tc>
        <w:tc>
          <w:tcPr>
            <w:tcW w:type="dxa" w:w="4680"/>
          </w:tcPr>
          <w:p>
            <w:pPr>
              <w:keepLines w:val="1"/>
              <w:keepNext w:val="1"/>
            </w:pPr>
            <w:r>
              <w:t>PERF, GOV, VUL, PEN, SIEM, AWR, MET, IMP.</w:t>
            </w:r>
          </w:p>
        </w:tc>
      </w:tr>
      <w:tr>
        <w:trPr>
          <w:cantSplit w:val="1"/>
        </w:trPr>
        <w:tc>
          <w:tcPr>
            <w:tcW w:type="dxa" w:w="4680"/>
          </w:tcPr>
          <w:p>
            <w:pPr>
              <w:keepLines w:val="1"/>
              <w:keepNext w:val="1"/>
            </w:pPr>
            <w:r>
              <w:t>C: Texto_Pregunta</w:t>
            </w:r>
          </w:p>
        </w:tc>
        <w:tc>
          <w:tcPr>
            <w:tcW w:type="dxa" w:w="4680"/>
          </w:tcPr>
          <w:p>
            <w:pPr>
              <w:keepLines w:val="1"/>
              <w:keepNext w:val="1"/>
            </w:pPr>
            <w:r>
              <w:t>Redacción abreviada para referencia interna.</w:t>
            </w:r>
          </w:p>
        </w:tc>
      </w:tr>
      <w:tr>
        <w:trPr>
          <w:cantSplit w:val="1"/>
        </w:trPr>
        <w:tc>
          <w:tcPr>
            <w:tcW w:type="dxa" w:w="4680"/>
          </w:tcPr>
          <w:p>
            <w:pPr>
              <w:keepLines w:val="1"/>
              <w:keepNext w:val="1"/>
            </w:pPr>
            <w:r>
              <w:t>D: Tipo</w:t>
            </w:r>
          </w:p>
        </w:tc>
        <w:tc>
          <w:tcPr>
            <w:tcW w:type="dxa" w:w="4680"/>
          </w:tcPr>
          <w:p>
            <w:pPr>
              <w:keepLines w:val="1"/>
              <w:keepNext w:val="1"/>
            </w:pPr>
            <w:r>
              <w:t>Opción única, múltiple, Likert, numérica, abierta.</w:t>
            </w:r>
          </w:p>
        </w:tc>
      </w:tr>
      <w:tr>
        <w:trPr>
          <w:cantSplit w:val="1"/>
        </w:trPr>
        <w:tc>
          <w:tcPr>
            <w:tcW w:type="dxa" w:w="4680"/>
          </w:tcPr>
          <w:p>
            <w:pPr>
              <w:keepLines w:val="1"/>
              <w:keepNext w:val="1"/>
            </w:pPr>
            <w:r>
              <w:t>E: Escala_Min</w:t>
            </w:r>
          </w:p>
        </w:tc>
        <w:tc>
          <w:tcPr>
            <w:tcW w:type="dxa" w:w="4680"/>
          </w:tcPr>
          <w:p>
            <w:pPr>
              <w:keepLines w:val="1"/>
              <w:keepNext w:val="1"/>
            </w:pPr>
            <w:r>
              <w:t>Valor mínimo codificado (por ejemplo, 1).</w:t>
            </w:r>
          </w:p>
        </w:tc>
      </w:tr>
      <w:tr>
        <w:trPr>
          <w:cantSplit w:val="1"/>
        </w:trPr>
        <w:tc>
          <w:tcPr>
            <w:tcW w:type="dxa" w:w="4680"/>
          </w:tcPr>
          <w:p>
            <w:pPr>
              <w:keepLines w:val="1"/>
              <w:keepNext w:val="1"/>
            </w:pPr>
            <w:r>
              <w:t>F: Escala_Max</w:t>
            </w:r>
          </w:p>
        </w:tc>
        <w:tc>
          <w:tcPr>
            <w:tcW w:type="dxa" w:w="4680"/>
          </w:tcPr>
          <w:p>
            <w:pPr>
              <w:keepLines w:val="1"/>
              <w:keepNext w:val="1"/>
            </w:pPr>
            <w:r>
              <w:t>Valor máximo codificado (por ejemplo, 4 o 5).</w:t>
            </w:r>
          </w:p>
        </w:tc>
      </w:tr>
      <w:tr>
        <w:trPr>
          <w:cantSplit w:val="1"/>
        </w:trPr>
        <w:tc>
          <w:tcPr>
            <w:tcW w:type="dxa" w:w="4680"/>
          </w:tcPr>
          <w:p>
            <w:pPr>
              <w:keepLines w:val="1"/>
            </w:pPr>
            <w:r>
              <w:t>G: Sentido</w:t>
            </w:r>
          </w:p>
        </w:tc>
        <w:tc>
          <w:tcPr>
            <w:tcW w:type="dxa" w:w="4680"/>
          </w:tcPr>
          <w:p>
            <w:pPr>
              <w:keepLines w:val="1"/>
            </w:pPr>
            <w:r>
              <w:t>"Directo" (más es mejor) o "Inverso" (más es peor).</w:t>
            </w:r>
          </w:p>
        </w:tc>
      </w:tr>
    </w:tbl>
    <w:p/>
    <w:p>
      <w:r>
        <w:t>Esta hoja sirve de diccionario de datos para todo el libro.</w:t>
      </w:r>
    </w:p>
    <w:p>
      <w:pPr>
        <w:pStyle w:val="Heading2"/>
        <w:keepNext/>
        <w:keepLines/>
      </w:pPr>
      <w:r>
        <w:rPr>
          <w:color w:val="0066CC"/>
        </w:rPr>
        <w:t>3. Hoja «Respuestas»</w:t>
      </w:r>
    </w:p>
    <w:p>
      <w:r>
        <w:t>Cada fila representa una organización/unidad evaluada. Cada columna, una variable.</w:t>
      </w:r>
    </w:p>
    <w:p>
      <w:r>
        <w:rPr>
          <w:b/>
        </w:rPr>
        <w:t>Columnas sugeridas: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Columna</w:t>
            </w:r>
          </w:p>
        </w:tc>
        <w:tc>
          <w:tcPr>
            <w:tcW w:type="dxa" w:w="4680"/>
            <w:shd w:fill="0033CC"/>
          </w:tcPr>
          <w:p>
            <w:pPr>
              <w:keepLines w:val="1"/>
              <w:keepNext w:val="1"/>
            </w:pPr>
            <w:r>
              <w:rPr>
                <w:b/>
                <w:color w:val="FFFFFF"/>
              </w:rPr>
              <w:t>Contenido</w:t>
            </w:r>
          </w:p>
        </w:tc>
      </w:tr>
      <w:tr>
        <w:trPr>
          <w:cantSplit w:val="1"/>
        </w:trPr>
        <w:tc>
          <w:tcPr>
            <w:tcW w:type="dxa" w:w="4680"/>
          </w:tcPr>
          <w:p>
            <w:pPr>
              <w:keepLines w:val="1"/>
              <w:keepNext w:val="1"/>
            </w:pPr>
            <w:r>
              <w:t>A: ID_Organizacion</w:t>
            </w:r>
          </w:p>
        </w:tc>
        <w:tc>
          <w:tcPr>
            <w:tcW w:type="dxa" w:w="4680"/>
          </w:tcPr>
          <w:p>
            <w:pPr>
              <w:keepLines w:val="1"/>
              <w:keepNext w:val="1"/>
            </w:pPr>
            <w:r>
              <w:t>Identificador pseudonimizado.</w:t>
            </w:r>
          </w:p>
        </w:tc>
      </w:tr>
      <w:tr>
        <w:trPr>
          <w:cantSplit w:val="1"/>
        </w:trPr>
        <w:tc>
          <w:tcPr>
            <w:tcW w:type="dxa" w:w="4680"/>
          </w:tcPr>
          <w:p>
            <w:pPr>
              <w:keepLines w:val="1"/>
              <w:keepNext w:val="1"/>
            </w:pPr>
            <w:r>
              <w:t>B: Nombre_Organizacion</w:t>
            </w:r>
          </w:p>
        </w:tc>
        <w:tc>
          <w:tcPr>
            <w:tcW w:type="dxa" w:w="4680"/>
          </w:tcPr>
          <w:p>
            <w:pPr>
              <w:keepLines w:val="1"/>
              <w:keepNext w:val="1"/>
            </w:pPr>
            <w:r>
              <w:t>Opcional (o código).</w:t>
            </w:r>
          </w:p>
        </w:tc>
      </w:tr>
      <w:tr>
        <w:trPr>
          <w:cantSplit w:val="1"/>
        </w:trPr>
        <w:tc>
          <w:tcPr>
            <w:tcW w:type="dxa" w:w="4680"/>
          </w:tcPr>
          <w:p>
            <w:pPr>
              <w:keepLines w:val="1"/>
              <w:keepNext w:val="1"/>
            </w:pPr>
            <w:r>
              <w:t>C: Sector</w:t>
            </w:r>
          </w:p>
        </w:tc>
        <w:tc>
          <w:tcPr>
            <w:tcW w:type="dxa" w:w="4680"/>
          </w:tcPr>
          <w:p>
            <w:pPr>
              <w:keepLines w:val="1"/>
              <w:keepNext w:val="1"/>
            </w:pPr>
            <w:r>
              <w:t>Etiqueta de sector (alineada con NIS2/ENS).</w:t>
            </w:r>
          </w:p>
        </w:tc>
      </w:tr>
      <w:tr>
        <w:trPr>
          <w:cantSplit w:val="1"/>
        </w:trPr>
        <w:tc>
          <w:tcPr>
            <w:tcW w:type="dxa" w:w="4680"/>
          </w:tcPr>
          <w:p>
            <w:pPr>
              <w:keepLines w:val="1"/>
              <w:keepNext w:val="1"/>
            </w:pPr>
            <w:r>
              <w:t>D: Tamano</w:t>
            </w:r>
          </w:p>
        </w:tc>
        <w:tc>
          <w:tcPr>
            <w:tcW w:type="dxa" w:w="4680"/>
          </w:tcPr>
          <w:p>
            <w:pPr>
              <w:keepLines w:val="1"/>
              <w:keepNext w:val="1"/>
            </w:pPr>
            <w:r>
              <w:t>Tramo (Micro, Pequeña, Mediana, Grande).</w:t>
            </w:r>
          </w:p>
        </w:tc>
      </w:tr>
      <w:tr>
        <w:trPr>
          <w:cantSplit w:val="1"/>
        </w:trPr>
        <w:tc>
          <w:tcPr>
            <w:tcW w:type="dxa" w:w="4680"/>
          </w:tcPr>
          <w:p>
            <w:pPr>
              <w:keepLines w:val="1"/>
              <w:keepNext w:val="1"/>
            </w:pPr>
            <w:r>
              <w:t>E: Ambito</w:t>
            </w:r>
          </w:p>
        </w:tc>
        <w:tc>
          <w:tcPr>
            <w:tcW w:type="dxa" w:w="4680"/>
          </w:tcPr>
          <w:p>
            <w:pPr>
              <w:keepLines w:val="1"/>
              <w:keepNext w:val="1"/>
            </w:pPr>
            <w:r>
              <w:t>Local, nacional, UE, global.</w:t>
            </w:r>
          </w:p>
        </w:tc>
      </w:tr>
      <w:tr>
        <w:trPr>
          <w:cantSplit w:val="1"/>
        </w:trPr>
        <w:tc>
          <w:tcPr>
            <w:tcW w:type="dxa" w:w="4680"/>
          </w:tcPr>
          <w:p>
            <w:pPr>
              <w:keepLines w:val="1"/>
            </w:pPr>
            <w:r>
              <w:t>F en adelante</w:t>
            </w:r>
          </w:p>
        </w:tc>
        <w:tc>
          <w:tcPr>
            <w:tcW w:type="dxa" w:w="4680"/>
          </w:tcPr>
          <w:p>
            <w:pPr>
              <w:keepLines w:val="1"/>
            </w:pPr>
            <w:r>
              <w:t>Una columna por pregunta (GOV-01, GOV-02, …) con valor numérico ya codificado.</w:t>
            </w:r>
          </w:p>
        </w:tc>
      </w:tr>
    </w:tbl>
    <w:p/>
    <w:p>
      <w:r>
        <w:rPr>
          <w:b/>
        </w:rPr>
        <w:t>Recomendaciones:</w:t>
      </w:r>
    </w:p>
    <w:p>
      <w:pPr>
        <w:pStyle w:val="ListBullet"/>
        <w:keepLines w:val="1"/>
        <w:keepNext w:val="1"/>
        <w:widowControl w:val="1"/>
      </w:pPr>
      <w:r>
        <w:t>Mantener una fila por organización.</w:t>
      </w:r>
    </w:p>
    <w:p>
      <w:pPr>
        <w:pStyle w:val="ListBullet"/>
        <w:keepLines w:val="1"/>
        <w:keepNext w:val="1"/>
        <w:widowControl w:val="1"/>
      </w:pPr>
      <w:r>
        <w:t>Evitar información personal o sensible.</w:t>
      </w:r>
    </w:p>
    <w:p>
      <w:pPr>
        <w:pStyle w:val="ListBullet"/>
        <w:keepLines w:val="1"/>
        <w:widowControl w:val="1"/>
      </w:pPr>
      <w:r>
        <w:t>Asegurar que todas las preguntas obligatorias se han codificado.</w:t>
      </w:r>
    </w:p>
    <w:p>
      <w:pPr>
        <w:pStyle w:val="Heading2"/>
        <w:keepNext/>
        <w:keepLines/>
      </w:pPr>
      <w:r>
        <w:rPr>
          <w:color w:val="0066CC"/>
        </w:rPr>
        <w:t>4. Hoja «Ponderaciones»</w:t>
      </w:r>
    </w:p>
    <w:p>
      <w:r>
        <w:t>Define el peso relativo de cada pregunta dentro de su bloque y el peso de cada bloque dentro del IGM.</w:t>
      </w:r>
    </w:p>
    <w:p>
      <w:r>
        <w:rPr>
          <w:b/>
        </w:rPr>
        <w:t>Tabla 1 – Ponderación por pregunta</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Columna</w:t>
            </w:r>
          </w:p>
        </w:tc>
        <w:tc>
          <w:tcPr>
            <w:tcW w:type="dxa" w:w="4680"/>
            <w:shd w:fill="0033CC"/>
          </w:tcPr>
          <w:p>
            <w:pPr>
              <w:keepLines w:val="1"/>
              <w:keepNext w:val="1"/>
            </w:pPr>
            <w:r>
              <w:rPr>
                <w:b/>
                <w:color w:val="FFFFFF"/>
              </w:rPr>
              <w:t>Contenido</w:t>
            </w:r>
          </w:p>
        </w:tc>
      </w:tr>
      <w:tr>
        <w:trPr>
          <w:cantSplit w:val="1"/>
        </w:trPr>
        <w:tc>
          <w:tcPr>
            <w:tcW w:type="dxa" w:w="4680"/>
          </w:tcPr>
          <w:p>
            <w:pPr>
              <w:keepLines w:val="1"/>
              <w:keepNext w:val="1"/>
            </w:pPr>
            <w:r>
              <w:t>A: ID_Pregunta</w:t>
            </w:r>
          </w:p>
        </w:tc>
        <w:tc>
          <w:tcPr>
            <w:tcW w:type="dxa" w:w="4680"/>
          </w:tcPr>
          <w:p>
            <w:pPr>
              <w:keepLines w:val="1"/>
              <w:keepNext w:val="1"/>
            </w:pPr>
            <w:r>
              <w:t>Igual que en Diccionario.</w:t>
            </w:r>
          </w:p>
        </w:tc>
      </w:tr>
      <w:tr>
        <w:trPr>
          <w:cantSplit w:val="1"/>
        </w:trPr>
        <w:tc>
          <w:tcPr>
            <w:tcW w:type="dxa" w:w="4680"/>
          </w:tcPr>
          <w:p>
            <w:pPr>
              <w:keepLines w:val="1"/>
              <w:keepNext w:val="1"/>
            </w:pPr>
            <w:r>
              <w:t>B: Bloque</w:t>
            </w:r>
          </w:p>
        </w:tc>
        <w:tc>
          <w:tcPr>
            <w:tcW w:type="dxa" w:w="4680"/>
          </w:tcPr>
          <w:p>
            <w:pPr>
              <w:keepLines w:val="1"/>
              <w:keepNext w:val="1"/>
            </w:pPr>
            <w:r>
              <w:t>GOV, VUL, PEN, SIEM, AWR, MET.</w:t>
            </w:r>
          </w:p>
        </w:tc>
      </w:tr>
      <w:tr>
        <w:trPr>
          <w:cantSplit w:val="1"/>
        </w:trPr>
        <w:tc>
          <w:tcPr>
            <w:tcW w:type="dxa" w:w="4680"/>
          </w:tcPr>
          <w:p>
            <w:pPr>
              <w:keepLines w:val="1"/>
            </w:pPr>
            <w:r>
              <w:t>C: Peso_Pregunta</w:t>
            </w:r>
          </w:p>
        </w:tc>
        <w:tc>
          <w:tcPr>
            <w:tcW w:type="dxa" w:w="4680"/>
          </w:tcPr>
          <w:p>
            <w:pPr>
              <w:keepLines w:val="1"/>
            </w:pPr>
            <w:r>
              <w:t>Peso relativo dentro del bloque (la suma por bloque = 1).</w:t>
            </w:r>
          </w:p>
        </w:tc>
      </w:tr>
    </w:tbl>
    <w:p/>
    <w:p>
      <w:r>
        <w:rPr>
          <w:b/>
        </w:rPr>
        <w:t>Tabla 2 – Ponderación por bloque</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Bloque</w:t>
            </w:r>
          </w:p>
        </w:tc>
        <w:tc>
          <w:tcPr>
            <w:tcW w:type="dxa" w:w="4680"/>
            <w:shd w:fill="0033CC"/>
          </w:tcPr>
          <w:p>
            <w:pPr>
              <w:keepLines w:val="1"/>
              <w:keepNext w:val="1"/>
            </w:pPr>
            <w:r>
              <w:rPr>
                <w:b/>
                <w:color w:val="FFFFFF"/>
              </w:rPr>
              <w:t>Peso_Bloque sugerido</w:t>
            </w:r>
          </w:p>
        </w:tc>
      </w:tr>
      <w:tr>
        <w:trPr>
          <w:cantSplit w:val="1"/>
        </w:trPr>
        <w:tc>
          <w:tcPr>
            <w:tcW w:type="dxa" w:w="4680"/>
          </w:tcPr>
          <w:p>
            <w:pPr>
              <w:keepLines w:val="1"/>
              <w:keepNext w:val="1"/>
            </w:pPr>
            <w:r>
              <w:t>GOV</w:t>
            </w:r>
          </w:p>
        </w:tc>
        <w:tc>
          <w:tcPr>
            <w:tcW w:type="dxa" w:w="4680"/>
          </w:tcPr>
          <w:p>
            <w:pPr>
              <w:keepLines w:val="1"/>
              <w:keepNext w:val="1"/>
            </w:pPr>
            <w:r>
              <w:t>0,15</w:t>
            </w:r>
          </w:p>
        </w:tc>
      </w:tr>
      <w:tr>
        <w:trPr>
          <w:cantSplit w:val="1"/>
        </w:trPr>
        <w:tc>
          <w:tcPr>
            <w:tcW w:type="dxa" w:w="4680"/>
          </w:tcPr>
          <w:p>
            <w:pPr>
              <w:keepLines w:val="1"/>
              <w:keepNext w:val="1"/>
            </w:pPr>
            <w:r>
              <w:t>VUL</w:t>
            </w:r>
          </w:p>
        </w:tc>
        <w:tc>
          <w:tcPr>
            <w:tcW w:type="dxa" w:w="4680"/>
          </w:tcPr>
          <w:p>
            <w:pPr>
              <w:keepLines w:val="1"/>
              <w:keepNext w:val="1"/>
            </w:pPr>
            <w:r>
              <w:t>0,25</w:t>
            </w:r>
          </w:p>
        </w:tc>
      </w:tr>
      <w:tr>
        <w:trPr>
          <w:cantSplit w:val="1"/>
        </w:trPr>
        <w:tc>
          <w:tcPr>
            <w:tcW w:type="dxa" w:w="4680"/>
          </w:tcPr>
          <w:p>
            <w:pPr>
              <w:keepLines w:val="1"/>
              <w:keepNext w:val="1"/>
            </w:pPr>
            <w:r>
              <w:t>PEN</w:t>
            </w:r>
          </w:p>
        </w:tc>
        <w:tc>
          <w:tcPr>
            <w:tcW w:type="dxa" w:w="4680"/>
          </w:tcPr>
          <w:p>
            <w:pPr>
              <w:keepLines w:val="1"/>
              <w:keepNext w:val="1"/>
            </w:pPr>
            <w:r>
              <w:t>0,15</w:t>
            </w:r>
          </w:p>
        </w:tc>
      </w:tr>
      <w:tr>
        <w:trPr>
          <w:cantSplit w:val="1"/>
        </w:trPr>
        <w:tc>
          <w:tcPr>
            <w:tcW w:type="dxa" w:w="4680"/>
          </w:tcPr>
          <w:p>
            <w:pPr>
              <w:keepLines w:val="1"/>
              <w:keepNext w:val="1"/>
            </w:pPr>
            <w:r>
              <w:t>SIEM</w:t>
            </w:r>
          </w:p>
        </w:tc>
        <w:tc>
          <w:tcPr>
            <w:tcW w:type="dxa" w:w="4680"/>
          </w:tcPr>
          <w:p>
            <w:pPr>
              <w:keepLines w:val="1"/>
              <w:keepNext w:val="1"/>
            </w:pPr>
            <w:r>
              <w:t>0,20</w:t>
            </w:r>
          </w:p>
        </w:tc>
      </w:tr>
      <w:tr>
        <w:trPr>
          <w:cantSplit w:val="1"/>
        </w:trPr>
        <w:tc>
          <w:tcPr>
            <w:tcW w:type="dxa" w:w="4680"/>
          </w:tcPr>
          <w:p>
            <w:pPr>
              <w:keepLines w:val="1"/>
              <w:keepNext w:val="1"/>
            </w:pPr>
            <w:r>
              <w:t>AWR</w:t>
            </w:r>
          </w:p>
        </w:tc>
        <w:tc>
          <w:tcPr>
            <w:tcW w:type="dxa" w:w="4680"/>
          </w:tcPr>
          <w:p>
            <w:pPr>
              <w:keepLines w:val="1"/>
              <w:keepNext w:val="1"/>
            </w:pPr>
            <w:r>
              <w:t>0,15</w:t>
            </w:r>
          </w:p>
        </w:tc>
      </w:tr>
      <w:tr>
        <w:trPr>
          <w:cantSplit w:val="1"/>
        </w:trPr>
        <w:tc>
          <w:tcPr>
            <w:tcW w:type="dxa" w:w="4680"/>
          </w:tcPr>
          <w:p>
            <w:pPr>
              <w:keepLines w:val="1"/>
            </w:pPr>
            <w:r>
              <w:t>MET</w:t>
            </w:r>
          </w:p>
        </w:tc>
        <w:tc>
          <w:tcPr>
            <w:tcW w:type="dxa" w:w="4680"/>
          </w:tcPr>
          <w:p>
            <w:pPr>
              <w:keepLines w:val="1"/>
            </w:pPr>
            <w:r>
              <w:t>0,10</w:t>
            </w:r>
          </w:p>
        </w:tc>
      </w:tr>
    </w:tbl>
    <w:p/>
    <w:p>
      <w:r>
        <w:t>Ajustable según prioridades; documentar cualquier cambio.</w:t>
      </w:r>
    </w:p>
    <w:p>
      <w:pPr>
        <w:pStyle w:val="Heading2"/>
        <w:keepNext/>
        <w:keepLines/>
      </w:pPr>
      <w:r>
        <w:rPr>
          <w:color w:val="0066CC"/>
        </w:rPr>
        <w:t>5. Hoja «IGM_Organizaciones»</w:t>
      </w:r>
    </w:p>
    <w:p>
      <w:r>
        <w:t>Aquí se calculan subíndices por bloque y el IGM global.</w:t>
      </w:r>
    </w:p>
    <w:p>
      <w:r>
        <w:rPr>
          <w:b/>
        </w:rPr>
        <w:t>Columnas sugeridas: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Columna</w:t>
            </w:r>
          </w:p>
        </w:tc>
        <w:tc>
          <w:tcPr>
            <w:tcW w:type="dxa" w:w="4680"/>
            <w:shd w:fill="0033CC"/>
          </w:tcPr>
          <w:p>
            <w:pPr>
              <w:keepLines w:val="1"/>
              <w:keepNext w:val="1"/>
            </w:pPr>
            <w:r>
              <w:rPr>
                <w:b/>
                <w:color w:val="FFFFFF"/>
              </w:rPr>
              <w:t>Contenido</w:t>
            </w:r>
          </w:p>
        </w:tc>
      </w:tr>
      <w:tr>
        <w:trPr>
          <w:cantSplit w:val="1"/>
        </w:trPr>
        <w:tc>
          <w:tcPr>
            <w:tcW w:type="dxa" w:w="4680"/>
          </w:tcPr>
          <w:p>
            <w:pPr>
              <w:keepLines w:val="1"/>
              <w:keepNext w:val="1"/>
            </w:pPr>
            <w:r>
              <w:t>A: ID_Organizacion</w:t>
            </w:r>
          </w:p>
        </w:tc>
        <w:tc>
          <w:tcPr>
            <w:tcW w:type="dxa" w:w="4680"/>
          </w:tcPr>
          <w:p>
            <w:pPr>
              <w:keepLines w:val="1"/>
              <w:keepNext w:val="1"/>
            </w:pPr>
            <w:r>
              <w:t>Referencia a Respuestas!A:A.</w:t>
            </w:r>
          </w:p>
        </w:tc>
      </w:tr>
      <w:tr>
        <w:trPr>
          <w:cantSplit w:val="1"/>
        </w:trPr>
        <w:tc>
          <w:tcPr>
            <w:tcW w:type="dxa" w:w="4680"/>
          </w:tcPr>
          <w:p>
            <w:pPr>
              <w:keepLines w:val="1"/>
              <w:keepNext w:val="1"/>
            </w:pPr>
            <w:r>
              <w:t>B: Sector</w:t>
            </w:r>
          </w:p>
        </w:tc>
        <w:tc>
          <w:tcPr>
            <w:tcW w:type="dxa" w:w="4680"/>
          </w:tcPr>
          <w:p>
            <w:pPr>
              <w:keepLines w:val="1"/>
              <w:keepNext w:val="1"/>
            </w:pPr>
            <w:r>
              <w:t>=Respuestas!C:C.</w:t>
            </w:r>
          </w:p>
        </w:tc>
      </w:tr>
      <w:tr>
        <w:trPr>
          <w:cantSplit w:val="1"/>
        </w:trPr>
        <w:tc>
          <w:tcPr>
            <w:tcW w:type="dxa" w:w="4680"/>
          </w:tcPr>
          <w:p>
            <w:pPr>
              <w:keepLines w:val="1"/>
              <w:keepNext w:val="1"/>
            </w:pPr>
            <w:r>
              <w:t>C: Tamano</w:t>
            </w:r>
          </w:p>
        </w:tc>
        <w:tc>
          <w:tcPr>
            <w:tcW w:type="dxa" w:w="4680"/>
          </w:tcPr>
          <w:p>
            <w:pPr>
              <w:keepLines w:val="1"/>
              <w:keepNext w:val="1"/>
            </w:pPr>
            <w:r>
              <w:t>=Respuestas!D:D.</w:t>
            </w:r>
          </w:p>
        </w:tc>
      </w:tr>
      <w:tr>
        <w:trPr>
          <w:cantSplit w:val="1"/>
        </w:trPr>
        <w:tc>
          <w:tcPr>
            <w:tcW w:type="dxa" w:w="4680"/>
          </w:tcPr>
          <w:p>
            <w:pPr>
              <w:keepLines w:val="1"/>
              <w:keepNext w:val="1"/>
            </w:pPr>
            <w:r>
              <w:t>D: Ambito</w:t>
            </w:r>
          </w:p>
        </w:tc>
        <w:tc>
          <w:tcPr>
            <w:tcW w:type="dxa" w:w="4680"/>
          </w:tcPr>
          <w:p>
            <w:pPr>
              <w:keepLines w:val="1"/>
              <w:keepNext w:val="1"/>
            </w:pPr>
            <w:r>
              <w:t>=Respuestas!E:E.</w:t>
            </w:r>
          </w:p>
        </w:tc>
      </w:tr>
      <w:tr>
        <w:trPr>
          <w:cantSplit w:val="1"/>
        </w:trPr>
        <w:tc>
          <w:tcPr>
            <w:tcW w:type="dxa" w:w="4680"/>
          </w:tcPr>
          <w:p>
            <w:pPr>
              <w:keepLines w:val="1"/>
              <w:keepNext w:val="1"/>
            </w:pPr>
            <w:r>
              <w:t>E: IGM_GOV</w:t>
            </w:r>
          </w:p>
        </w:tc>
        <w:tc>
          <w:tcPr>
            <w:tcW w:type="dxa" w:w="4680"/>
          </w:tcPr>
          <w:p>
            <w:pPr>
              <w:keepLines w:val="1"/>
              <w:keepNext w:val="1"/>
            </w:pPr>
            <w:r>
              <w:t>Subíndice Gobierno.</w:t>
            </w:r>
          </w:p>
        </w:tc>
      </w:tr>
      <w:tr>
        <w:trPr>
          <w:cantSplit w:val="1"/>
        </w:trPr>
        <w:tc>
          <w:tcPr>
            <w:tcW w:type="dxa" w:w="4680"/>
          </w:tcPr>
          <w:p>
            <w:pPr>
              <w:keepLines w:val="1"/>
              <w:keepNext w:val="1"/>
            </w:pPr>
            <w:r>
              <w:t>F: IGM_VUL</w:t>
            </w:r>
          </w:p>
        </w:tc>
        <w:tc>
          <w:tcPr>
            <w:tcW w:type="dxa" w:w="4680"/>
          </w:tcPr>
          <w:p>
            <w:pPr>
              <w:keepLines w:val="1"/>
              <w:keepNext w:val="1"/>
            </w:pPr>
            <w:r>
              <w:t>Subíndice Vulnerabilidades/KEV.</w:t>
            </w:r>
          </w:p>
        </w:tc>
      </w:tr>
      <w:tr>
        <w:trPr>
          <w:cantSplit w:val="1"/>
        </w:trPr>
        <w:tc>
          <w:tcPr>
            <w:tcW w:type="dxa" w:w="4680"/>
          </w:tcPr>
          <w:p>
            <w:pPr>
              <w:keepLines w:val="1"/>
              <w:keepNext w:val="1"/>
            </w:pPr>
            <w:r>
              <w:t>G: IGM_PEN</w:t>
            </w:r>
          </w:p>
        </w:tc>
        <w:tc>
          <w:tcPr>
            <w:tcW w:type="dxa" w:w="4680"/>
          </w:tcPr>
          <w:p>
            <w:pPr>
              <w:keepLines w:val="1"/>
              <w:keepNext w:val="1"/>
            </w:pPr>
            <w:r>
              <w:t>Subíndice Pentesting.</w:t>
            </w:r>
          </w:p>
        </w:tc>
      </w:tr>
      <w:tr>
        <w:trPr>
          <w:cantSplit w:val="1"/>
        </w:trPr>
        <w:tc>
          <w:tcPr>
            <w:tcW w:type="dxa" w:w="4680"/>
          </w:tcPr>
          <w:p>
            <w:pPr>
              <w:keepLines w:val="1"/>
              <w:keepNext w:val="1"/>
            </w:pPr>
            <w:r>
              <w:t>H: IGM_SIEM</w:t>
            </w:r>
          </w:p>
        </w:tc>
        <w:tc>
          <w:tcPr>
            <w:tcW w:type="dxa" w:w="4680"/>
          </w:tcPr>
          <w:p>
            <w:pPr>
              <w:keepLines w:val="1"/>
              <w:keepNext w:val="1"/>
            </w:pPr>
            <w:r>
              <w:t>Subíndice SIEM/monitorización.</w:t>
            </w:r>
          </w:p>
        </w:tc>
      </w:tr>
      <w:tr>
        <w:trPr>
          <w:cantSplit w:val="1"/>
        </w:trPr>
        <w:tc>
          <w:tcPr>
            <w:tcW w:type="dxa" w:w="4680"/>
          </w:tcPr>
          <w:p>
            <w:pPr>
              <w:keepLines w:val="1"/>
              <w:keepNext w:val="1"/>
            </w:pPr>
            <w:r>
              <w:t>I: IGM_AWR</w:t>
            </w:r>
          </w:p>
        </w:tc>
        <w:tc>
          <w:tcPr>
            <w:tcW w:type="dxa" w:w="4680"/>
          </w:tcPr>
          <w:p>
            <w:pPr>
              <w:keepLines w:val="1"/>
              <w:keepNext w:val="1"/>
            </w:pPr>
            <w:r>
              <w:t>Subíndice Capacitación.</w:t>
            </w:r>
          </w:p>
        </w:tc>
      </w:tr>
      <w:tr>
        <w:trPr>
          <w:cantSplit w:val="1"/>
        </w:trPr>
        <w:tc>
          <w:tcPr>
            <w:tcW w:type="dxa" w:w="4680"/>
          </w:tcPr>
          <w:p>
            <w:pPr>
              <w:keepLines w:val="1"/>
              <w:keepNext w:val="1"/>
            </w:pPr>
            <w:r>
              <w:t>J: IGM_MET</w:t>
            </w:r>
          </w:p>
        </w:tc>
        <w:tc>
          <w:tcPr>
            <w:tcW w:type="dxa" w:w="4680"/>
          </w:tcPr>
          <w:p>
            <w:pPr>
              <w:keepLines w:val="1"/>
              <w:keepNext w:val="1"/>
            </w:pPr>
            <w:r>
              <w:t>Subíndice Métricas/ROI.</w:t>
            </w:r>
          </w:p>
        </w:tc>
      </w:tr>
      <w:tr>
        <w:trPr>
          <w:cantSplit w:val="1"/>
        </w:trPr>
        <w:tc>
          <w:tcPr>
            <w:tcW w:type="dxa" w:w="4680"/>
          </w:tcPr>
          <w:p>
            <w:pPr>
              <w:keepLines w:val="1"/>
            </w:pPr>
            <w:r>
              <w:t>K: IGM_Global</w:t>
            </w:r>
          </w:p>
        </w:tc>
        <w:tc>
          <w:tcPr>
            <w:tcW w:type="dxa" w:w="4680"/>
          </w:tcPr>
          <w:p>
            <w:pPr>
              <w:keepLines w:val="1"/>
            </w:pPr>
            <w:r>
              <w:t>Índice Global de Madurez.</w:t>
            </w:r>
          </w:p>
        </w:tc>
      </w:tr>
    </w:tbl>
    <w:p/>
    <w:p>
      <w:pPr>
        <w:pStyle w:val="Heading3"/>
        <w:keepNext/>
        <w:keepLines/>
      </w:pPr>
      <w:r>
        <w:t>5.1 Cálculo de subíndices</w:t>
      </w:r>
    </w:p>
    <w:p>
      <w:r>
        <w:t>Ejemplo (bloque GOV):</w:t>
      </w:r>
    </w:p>
    <w:p>
      <w:pPr>
        <w:pStyle w:val="ListNumber"/>
        <w:keepLines w:val="1"/>
        <w:keepNext w:val="1"/>
        <w:widowControl w:val="1"/>
      </w:pPr>
      <w:r>
        <w:t>Definir un rango nombrado Peso_GOV en Ponderaciones con los pesos de las preguntas GOV.</w:t>
      </w:r>
    </w:p>
    <w:p>
      <w:pPr>
        <w:pStyle w:val="ListNumber"/>
        <w:keepLines w:val="1"/>
        <w:widowControl w:val="1"/>
      </w:pPr>
      <w:r>
        <w:t>Definir un rango Resp_GOV_orgX (fila de respuestas GOV para una organización).</w:t>
      </w:r>
    </w:p>
    <w:p>
      <w:r>
        <w:t>Fórmula tipo (para una organización en fila 2):</w:t>
      </w:r>
    </w:p>
    <w:p>
      <w:pPr>
        <w:pStyle w:val="NoSpacing"/>
        <w:keepLines/>
        <w:shd w:fill="F5F5F5"/>
      </w:pPr>
      <w:r>
        <w:rPr>
          <w:rFonts w:ascii="Courier New" w:hAnsi="Courier New"/>
          <w:sz w:val="18"/>
        </w:rPr>
        <w:t>=SUMAPRODUCTO(Resp_GOV_org2; Peso_GOV) / SUMA(Peso_GOV)</w:t>
        <w:br/>
      </w:r>
    </w:p>
    <w:p>
      <w:r>
        <w:t>Puede replicarse por bloque (VUL, PEN, SIEM, AWR, MET) cambiando los rangos.</w:t>
      </w:r>
    </w:p>
    <w:p>
      <w:pPr>
        <w:pStyle w:val="Heading3"/>
        <w:keepNext/>
        <w:keepLines/>
      </w:pPr>
      <w:r>
        <w:t>5.2 Normalización a escala 0–100</w:t>
      </w:r>
    </w:p>
    <w:p>
      <w:r>
        <w:t>Si la escala de las respuestas es, por ejemplo, 1–4:</w:t>
      </w:r>
    </w:p>
    <w:p>
      <w:pPr>
        <w:pStyle w:val="NoSpacing"/>
        <w:keepLines/>
        <w:shd w:fill="F5F5F5"/>
      </w:pPr>
      <w:r>
        <w:rPr>
          <w:rFonts w:ascii="Courier New" w:hAnsi="Courier New"/>
          <w:sz w:val="18"/>
        </w:rPr>
        <w:t>= (Subindice_Bruto - 1) / (4 - 1) * 100</w:t>
        <w:br/>
      </w:r>
    </w:p>
    <w:p>
      <w:r>
        <w:t>De este modo, todos los bloques quedan en una escala común (0–100).</w:t>
      </w:r>
    </w:p>
    <w:p>
      <w:pPr>
        <w:pStyle w:val="Heading3"/>
        <w:keepNext/>
        <w:keepLines/>
      </w:pPr>
      <w:r>
        <w:t>5.3 Cálculo del IGM Global</w:t>
      </w:r>
    </w:p>
    <w:p>
      <w:r>
        <w:t>Suponiendo que los pesos de bloque están en una pequeña tabla auxiliar o en celdas nombradas (</w:t>
      </w:r>
      <w:r>
        <w:rPr>
          <w:rFonts w:ascii="Courier New" w:hAnsi="Courier New"/>
          <w:sz w:val="18"/>
        </w:rPr>
        <w:t>Peso_GOV</w:t>
      </w:r>
      <w:r>
        <w:t xml:space="preserve">, </w:t>
      </w:r>
      <w:r>
        <w:rPr>
          <w:rFonts w:ascii="Courier New" w:hAnsi="Courier New"/>
          <w:sz w:val="18"/>
        </w:rPr>
        <w:t>Peso_VUL</w:t>
      </w:r>
      <w:r>
        <w:t>, etc.), se puede usar:</w:t>
      </w:r>
    </w:p>
    <w:p>
      <w:pPr>
        <w:pStyle w:val="NoSpacing"/>
        <w:keepLines/>
        <w:shd w:fill="F5F5F5"/>
      </w:pPr>
      <w:r>
        <w:rPr>
          <w:rFonts w:ascii="Courier New" w:hAnsi="Courier New"/>
          <w:sz w:val="18"/>
        </w:rPr>
        <w:t>= IGM_GOV * Peso_GOV</w:t>
        <w:br/>
        <w:t>+ IGM_VUL * Peso_VUL</w:t>
        <w:br/>
        <w:t>+ IGM_PEN * Peso_PEN</w:t>
        <w:br/>
        <w:t>+ IGM_SIEM * Peso_SIEM</w:t>
        <w:br/>
        <w:t>+ IGM_AWR * Peso_AWR</w:t>
        <w:br/>
        <w:t>+ IGM_MET * Peso_MET</w:t>
        <w:br/>
      </w:r>
    </w:p>
    <w:p>
      <w:r>
        <w:t xml:space="preserve">O, de forma compacta, con </w:t>
      </w:r>
      <w:r>
        <w:rPr>
          <w:rFonts w:ascii="Courier New" w:hAnsi="Courier New"/>
          <w:sz w:val="18"/>
        </w:rPr>
        <w:t>SUMAPRODUCTO</w:t>
      </w:r>
      <w:r>
        <w:t xml:space="preserve"> sobre un rango que contenga los subíndices y otro con los pesos.</w:t>
      </w:r>
    </w:p>
    <w:p>
      <w:pPr>
        <w:pStyle w:val="Heading2"/>
        <w:keepNext/>
        <w:keepLines/>
      </w:pPr>
      <w:r>
        <w:rPr>
          <w:color w:val="0066CC"/>
        </w:rPr>
        <w:t>6. Hoja «Resumen_Segmentos»</w:t>
      </w:r>
    </w:p>
    <w:p>
      <w:r>
        <w:t>Usada para análisis agregados y gráficos.</w:t>
      </w:r>
    </w:p>
    <w:p>
      <w:r>
        <w:t>Elementos recomendados:</w:t>
      </w:r>
    </w:p>
    <w:p>
      <w:pPr>
        <w:pStyle w:val="ListBullet"/>
        <w:keepLines w:val="1"/>
        <w:keepNext w:val="1"/>
        <w:widowControl w:val="1"/>
      </w:pPr>
      <w:r>
        <w:t>Tablas dinámicas:</w:t>
      </w:r>
    </w:p>
    <w:p>
      <w:pPr>
        <w:pStyle w:val="ListBullet"/>
        <w:keepLines w:val="1"/>
        <w:keepNext w:val="1"/>
        <w:widowControl w:val="1"/>
      </w:pPr>
      <w:r>
        <w:t>Filas: Sector, Tamaño, Ámbito.</w:t>
      </w:r>
    </w:p>
    <w:p>
      <w:pPr>
        <w:pStyle w:val="ListBullet"/>
        <w:keepLines w:val="1"/>
        <w:keepNext w:val="1"/>
        <w:widowControl w:val="1"/>
      </w:pPr>
      <w:r>
        <w:t>Valores: PROMEDIO de IGM_Global, IGM_VUL, IGM_SIEM, etc.</w:t>
      </w:r>
    </w:p>
    <w:p>
      <w:pPr>
        <w:pStyle w:val="ListBullet"/>
        <w:keepLines w:val="1"/>
        <w:keepNext w:val="1"/>
        <w:widowControl w:val="1"/>
      </w:pPr>
      <w:r>
        <w:t>Gráficos:</w:t>
      </w:r>
    </w:p>
    <w:p>
      <w:pPr>
        <w:pStyle w:val="ListBullet"/>
        <w:keepLines w:val="1"/>
        <w:keepNext w:val="1"/>
        <w:widowControl w:val="1"/>
      </w:pPr>
      <w:r>
        <w:t>Barras comparando sectores.</w:t>
      </w:r>
    </w:p>
    <w:p>
      <w:pPr>
        <w:pStyle w:val="ListBullet"/>
        <w:keepLines w:val="1"/>
        <w:widowControl w:val="1"/>
      </w:pPr>
      <w:r>
        <w:t>Radar comparando subíndices por segmento.</w:t>
      </w:r>
    </w:p>
    <w:p>
      <w:r>
        <w:t>Esta hoja es la fuente natural de material para el reporte ejecutivo.</w:t>
      </w:r>
    </w:p>
    <w:p>
      <w:pPr>
        <w:pStyle w:val="Heading2"/>
        <w:keepNext/>
        <w:keepLines/>
      </w:pPr>
      <w:r>
        <w:rPr>
          <w:color w:val="0066CC"/>
        </w:rPr>
        <w:t>7. Hoja «ROI»</w:t>
      </w:r>
    </w:p>
    <w:p>
      <w:r>
        <w:t>Permite estimar el retorno de iniciativas de mejora identificadas a partir de los resultados (por ejemplo, «automatizar correlación KEV–activos», «reforzar SOC 24x7», etc.).</w:t>
      </w:r>
    </w:p>
    <w:p>
      <w:r>
        <w:rPr>
          <w:b/>
        </w:rPr>
        <w:t>Columnas sugeridas: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Columna</w:t>
            </w:r>
          </w:p>
        </w:tc>
        <w:tc>
          <w:tcPr>
            <w:tcW w:type="dxa" w:w="4680"/>
            <w:shd w:fill="0033CC"/>
          </w:tcPr>
          <w:p>
            <w:pPr>
              <w:keepLines w:val="1"/>
              <w:keepNext w:val="1"/>
            </w:pPr>
            <w:r>
              <w:rPr>
                <w:b/>
                <w:color w:val="FFFFFF"/>
              </w:rPr>
              <w:t>Contenido</w:t>
            </w:r>
          </w:p>
        </w:tc>
      </w:tr>
      <w:tr>
        <w:trPr>
          <w:cantSplit w:val="1"/>
        </w:trPr>
        <w:tc>
          <w:tcPr>
            <w:tcW w:type="dxa" w:w="4680"/>
          </w:tcPr>
          <w:p>
            <w:pPr>
              <w:keepLines w:val="1"/>
              <w:keepNext w:val="1"/>
            </w:pPr>
            <w:r>
              <w:t>A: ID_Iniciativa</w:t>
            </w:r>
          </w:p>
        </w:tc>
        <w:tc>
          <w:tcPr>
            <w:tcW w:type="dxa" w:w="4680"/>
          </w:tcPr>
          <w:p>
            <w:pPr>
              <w:keepLines w:val="1"/>
              <w:keepNext w:val="1"/>
            </w:pPr>
            <w:r>
              <w:t>Código (ROI-01, ROI-02…).</w:t>
            </w:r>
          </w:p>
        </w:tc>
      </w:tr>
      <w:tr>
        <w:trPr>
          <w:cantSplit w:val="1"/>
        </w:trPr>
        <w:tc>
          <w:tcPr>
            <w:tcW w:type="dxa" w:w="4680"/>
          </w:tcPr>
          <w:p>
            <w:pPr>
              <w:keepLines w:val="1"/>
              <w:keepNext w:val="1"/>
            </w:pPr>
            <w:r>
              <w:t>B: Descripcion</w:t>
            </w:r>
          </w:p>
        </w:tc>
        <w:tc>
          <w:tcPr>
            <w:tcW w:type="dxa" w:w="4680"/>
          </w:tcPr>
          <w:p>
            <w:pPr>
              <w:keepLines w:val="1"/>
              <w:keepNext w:val="1"/>
            </w:pPr>
            <w:r>
              <w:t>Descripción resumida.</w:t>
            </w:r>
          </w:p>
        </w:tc>
      </w:tr>
      <w:tr>
        <w:trPr>
          <w:cantSplit w:val="1"/>
        </w:trPr>
        <w:tc>
          <w:tcPr>
            <w:tcW w:type="dxa" w:w="4680"/>
          </w:tcPr>
          <w:p>
            <w:pPr>
              <w:keepLines w:val="1"/>
              <w:keepNext w:val="1"/>
            </w:pPr>
            <w:r>
              <w:t>C: Dimension</w:t>
            </w:r>
          </w:p>
        </w:tc>
        <w:tc>
          <w:tcPr>
            <w:tcW w:type="dxa" w:w="4680"/>
          </w:tcPr>
          <w:p>
            <w:pPr>
              <w:keepLines w:val="1"/>
              <w:keepNext w:val="1"/>
            </w:pPr>
            <w:r>
              <w:t>GOV, VUL, PEN, SIEM, AWR, MET (bloque al que contribuye).</w:t>
            </w:r>
          </w:p>
        </w:tc>
      </w:tr>
      <w:tr>
        <w:trPr>
          <w:cantSplit w:val="1"/>
        </w:trPr>
        <w:tc>
          <w:tcPr>
            <w:tcW w:type="dxa" w:w="4680"/>
          </w:tcPr>
          <w:p>
            <w:pPr>
              <w:keepLines w:val="1"/>
              <w:keepNext w:val="1"/>
            </w:pPr>
            <w:r>
              <w:t>D: Coste_Anual</w:t>
            </w:r>
          </w:p>
        </w:tc>
        <w:tc>
          <w:tcPr>
            <w:tcW w:type="dxa" w:w="4680"/>
          </w:tcPr>
          <w:p>
            <w:pPr>
              <w:keepLines w:val="1"/>
              <w:keepNext w:val="1"/>
            </w:pPr>
            <w:r>
              <w:t>Coste estimado anual (en euros).</w:t>
            </w:r>
          </w:p>
        </w:tc>
      </w:tr>
      <w:tr>
        <w:trPr>
          <w:cantSplit w:val="1"/>
        </w:trPr>
        <w:tc>
          <w:tcPr>
            <w:tcW w:type="dxa" w:w="4680"/>
          </w:tcPr>
          <w:p>
            <w:pPr>
              <w:keepLines w:val="1"/>
              <w:keepNext w:val="1"/>
            </w:pPr>
            <w:r>
              <w:t>E: Perdida_Esperada_Actual</w:t>
            </w:r>
          </w:p>
        </w:tc>
        <w:tc>
          <w:tcPr>
            <w:tcW w:type="dxa" w:w="4680"/>
          </w:tcPr>
          <w:p>
            <w:pPr>
              <w:keepLines w:val="1"/>
              <w:keepNext w:val="1"/>
            </w:pPr>
            <w:r>
              <w:t>Pérdida económica anual esperada antes de la iniciativa.</w:t>
            </w:r>
          </w:p>
        </w:tc>
      </w:tr>
      <w:tr>
        <w:trPr>
          <w:cantSplit w:val="1"/>
        </w:trPr>
        <w:tc>
          <w:tcPr>
            <w:tcW w:type="dxa" w:w="4680"/>
          </w:tcPr>
          <w:p>
            <w:pPr>
              <w:keepLines w:val="1"/>
              <w:keepNext w:val="1"/>
            </w:pPr>
            <w:r>
              <w:t>F: Perdida_Esperada_Prevista</w:t>
            </w:r>
          </w:p>
        </w:tc>
        <w:tc>
          <w:tcPr>
            <w:tcW w:type="dxa" w:w="4680"/>
          </w:tcPr>
          <w:p>
            <w:pPr>
              <w:keepLines w:val="1"/>
              <w:keepNext w:val="1"/>
            </w:pPr>
            <w:r>
              <w:t>Pérdida esperada tras la iniciativa.</w:t>
            </w:r>
          </w:p>
        </w:tc>
      </w:tr>
      <w:tr>
        <w:trPr>
          <w:cantSplit w:val="1"/>
        </w:trPr>
        <w:tc>
          <w:tcPr>
            <w:tcW w:type="dxa" w:w="4680"/>
          </w:tcPr>
          <w:p>
            <w:pPr>
              <w:keepLines w:val="1"/>
              <w:keepNext w:val="1"/>
            </w:pPr>
            <w:r>
              <w:t>G: Ahorro_Anual</w:t>
            </w:r>
          </w:p>
        </w:tc>
        <w:tc>
          <w:tcPr>
            <w:tcW w:type="dxa" w:w="4680"/>
          </w:tcPr>
          <w:p>
            <w:pPr>
              <w:keepLines w:val="1"/>
              <w:keepNext w:val="1"/>
            </w:pPr>
            <w:r>
              <w:t>=E – F.</w:t>
            </w:r>
          </w:p>
        </w:tc>
      </w:tr>
      <w:tr>
        <w:trPr>
          <w:cantSplit w:val="1"/>
        </w:trPr>
        <w:tc>
          <w:tcPr>
            <w:tcW w:type="dxa" w:w="4680"/>
          </w:tcPr>
          <w:p>
            <w:pPr>
              <w:keepLines w:val="1"/>
            </w:pPr>
            <w:r>
              <w:t>H: ROI</w:t>
            </w:r>
          </w:p>
        </w:tc>
        <w:tc>
          <w:tcPr>
            <w:tcW w:type="dxa" w:w="4680"/>
          </w:tcPr>
          <w:p>
            <w:pPr>
              <w:keepLines w:val="1"/>
            </w:pPr>
            <w:r>
              <w:t>= (G - D) / D.</w:t>
            </w:r>
          </w:p>
        </w:tc>
      </w:tr>
    </w:tbl>
    <w:p/>
    <w:p>
      <w:r>
        <w:rPr>
          <w:b/>
        </w:rPr>
        <w:t>Interpretación:</w:t>
      </w:r>
    </w:p>
    <w:p>
      <w:pPr>
        <w:pStyle w:val="ListBullet"/>
        <w:keepLines w:val="1"/>
        <w:keepNext w:val="1"/>
        <w:widowControl w:val="1"/>
      </w:pPr>
      <w:r>
        <w:t>ROI &gt; 0: la iniciativa se justifica económicamente (ahorro superior al coste).</w:t>
      </w:r>
    </w:p>
    <w:p>
      <w:pPr>
        <w:pStyle w:val="ListBullet"/>
        <w:keepLines w:val="1"/>
        <w:keepNext w:val="1"/>
        <w:widowControl w:val="1"/>
      </w:pPr>
      <w:r>
        <w:t>ROI ≈ 0: decisión de gestión (puede primar cumplimiento/regulación). |</w:t>
      </w:r>
    </w:p>
    <w:p>
      <w:pPr>
        <w:pStyle w:val="ListBullet"/>
        <w:keepLines w:val="1"/>
        <w:widowControl w:val="1"/>
      </w:pPr>
      <w:r>
        <w:t>ROI &lt; 0: iniciativa discutible salvo motivos regulatorios o reputacionales fuertes.</w:t>
      </w:r>
    </w:p>
    <w:p>
      <w:pPr>
        <w:pStyle w:val="Heading2"/>
        <w:keepNext/>
        <w:keepLines/>
      </w:pPr>
      <w:r>
        <w:rPr>
          <w:color w:val="0066CC"/>
        </w:rPr>
        <w:t>8. Hoja opcional «PRAGMATIC»</w:t>
      </w:r>
    </w:p>
    <w:p>
      <w:r>
        <w:t>Si se desea reflejar también la evaluación PRAGMATIC de las métricas KEV a nivel de país:</w:t>
      </w:r>
    </w:p>
    <w:tbl>
      <w:tblPr>
        <w:tblStyle w:val="LightGrid-Accent1"/>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val="1"/>
        </w:trPr>
        <w:tc>
          <w:tcPr>
            <w:tcW w:type="dxa" w:w="851"/>
            <w:shd w:fill="0033CC"/>
          </w:tcPr>
          <w:p>
            <w:pPr>
              <w:keepLines w:val="1"/>
              <w:keepNext w:val="1"/>
            </w:pPr>
            <w:r>
              <w:rPr>
                <w:b/>
                <w:color w:val="FFFFFF"/>
              </w:rPr>
              <w:t>Métrica</w:t>
            </w:r>
          </w:p>
        </w:tc>
        <w:tc>
          <w:tcPr>
            <w:tcW w:type="dxa" w:w="851"/>
            <w:shd w:fill="0033CC"/>
          </w:tcPr>
          <w:p>
            <w:pPr>
              <w:keepLines w:val="1"/>
              <w:keepNext w:val="1"/>
            </w:pPr>
            <w:r>
              <w:rPr>
                <w:b/>
                <w:color w:val="FFFFFF"/>
              </w:rPr>
              <w:t>P</w:t>
            </w:r>
          </w:p>
        </w:tc>
        <w:tc>
          <w:tcPr>
            <w:tcW w:type="dxa" w:w="851"/>
            <w:shd w:fill="0033CC"/>
          </w:tcPr>
          <w:p>
            <w:pPr>
              <w:keepLines w:val="1"/>
              <w:keepNext w:val="1"/>
            </w:pPr>
            <w:r>
              <w:rPr>
                <w:b/>
                <w:color w:val="FFFFFF"/>
              </w:rPr>
              <w:t>R</w:t>
            </w:r>
          </w:p>
        </w:tc>
        <w:tc>
          <w:tcPr>
            <w:tcW w:type="dxa" w:w="851"/>
            <w:shd w:fill="0033CC"/>
          </w:tcPr>
          <w:p>
            <w:pPr>
              <w:keepLines w:val="1"/>
              <w:keepNext w:val="1"/>
            </w:pPr>
            <w:r>
              <w:rPr>
                <w:b/>
                <w:color w:val="FFFFFF"/>
              </w:rPr>
              <w:t>A</w:t>
            </w:r>
          </w:p>
        </w:tc>
        <w:tc>
          <w:tcPr>
            <w:tcW w:type="dxa" w:w="851"/>
            <w:shd w:fill="0033CC"/>
          </w:tcPr>
          <w:p>
            <w:pPr>
              <w:keepLines w:val="1"/>
              <w:keepNext w:val="1"/>
            </w:pPr>
            <w:r>
              <w:rPr>
                <w:b/>
                <w:color w:val="FFFFFF"/>
              </w:rPr>
              <w:t>G</w:t>
            </w:r>
          </w:p>
        </w:tc>
        <w:tc>
          <w:tcPr>
            <w:tcW w:type="dxa" w:w="851"/>
            <w:shd w:fill="0033CC"/>
          </w:tcPr>
          <w:p>
            <w:pPr>
              <w:keepLines w:val="1"/>
              <w:keepNext w:val="1"/>
            </w:pPr>
            <w:r>
              <w:rPr>
                <w:b/>
                <w:color w:val="FFFFFF"/>
              </w:rPr>
              <w:t>M</w:t>
            </w:r>
          </w:p>
        </w:tc>
        <w:tc>
          <w:tcPr>
            <w:tcW w:type="dxa" w:w="851"/>
            <w:shd w:fill="0033CC"/>
          </w:tcPr>
          <w:p>
            <w:pPr>
              <w:keepLines w:val="1"/>
              <w:keepNext w:val="1"/>
            </w:pPr>
            <w:r>
              <w:rPr>
                <w:b/>
                <w:color w:val="FFFFFF"/>
              </w:rPr>
              <w:t>P2</w:t>
            </w:r>
          </w:p>
        </w:tc>
        <w:tc>
          <w:tcPr>
            <w:tcW w:type="dxa" w:w="851"/>
            <w:shd w:fill="0033CC"/>
          </w:tcPr>
          <w:p>
            <w:pPr>
              <w:keepLines w:val="1"/>
              <w:keepNext w:val="1"/>
            </w:pPr>
            <w:r>
              <w:rPr>
                <w:b/>
                <w:color w:val="FFFFFF"/>
              </w:rPr>
              <w:t>O</w:t>
            </w:r>
          </w:p>
        </w:tc>
        <w:tc>
          <w:tcPr>
            <w:tcW w:type="dxa" w:w="851"/>
            <w:shd w:fill="0033CC"/>
          </w:tcPr>
          <w:p>
            <w:pPr>
              <w:keepLines w:val="1"/>
              <w:keepNext w:val="1"/>
            </w:pPr>
            <w:r>
              <w:rPr>
                <w:b/>
                <w:color w:val="FFFFFF"/>
              </w:rPr>
              <w:t>I</w:t>
            </w:r>
          </w:p>
        </w:tc>
        <w:tc>
          <w:tcPr>
            <w:tcW w:type="dxa" w:w="851"/>
            <w:shd w:fill="0033CC"/>
          </w:tcPr>
          <w:p>
            <w:pPr>
              <w:keepLines w:val="1"/>
              <w:keepNext w:val="1"/>
            </w:pPr>
            <w:r>
              <w:rPr>
                <w:b/>
                <w:color w:val="FFFFFF"/>
              </w:rPr>
              <w:t>C</w:t>
            </w:r>
          </w:p>
        </w:tc>
        <w:tc>
          <w:tcPr>
            <w:tcW w:type="dxa" w:w="851"/>
            <w:shd w:fill="0033CC"/>
          </w:tcPr>
          <w:p>
            <w:pPr>
              <w:keepLines w:val="1"/>
              <w:keepNext w:val="1"/>
            </w:pPr>
            <w:r>
              <w:rPr>
                <w:b/>
                <w:color w:val="FFFFFF"/>
              </w:rPr>
              <w:t>Total</w:t>
            </w:r>
          </w:p>
        </w:tc>
      </w:tr>
      <w:tr>
        <w:trPr>
          <w:cantSplit w:val="1"/>
        </w:trPr>
        <w:tc>
          <w:tcPr>
            <w:tcW w:type="dxa" w:w="851"/>
          </w:tcPr>
          <w:p>
            <w:pPr>
              <w:keepLines w:val="1"/>
              <w:keepNext w:val="1"/>
            </w:pPr>
            <w:r>
              <w:t>E1</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r>
      <w:tr>
        <w:trPr>
          <w:cantSplit w:val="1"/>
        </w:trPr>
        <w:tc>
          <w:tcPr>
            <w:tcW w:type="dxa" w:w="851"/>
          </w:tcPr>
          <w:p>
            <w:pPr>
              <w:keepLines w:val="1"/>
              <w:keepNext w:val="1"/>
            </w:pPr>
            <w:r>
              <w:t>R1</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c>
          <w:tcPr>
            <w:tcW w:type="dxa" w:w="851"/>
          </w:tcPr>
          <w:p>
            <w:pPr>
              <w:keepLines w:val="1"/>
              <w:keepNext w:val="1"/>
            </w:pPr>
            <w:r>
              <w:t>…</w:t>
            </w:r>
          </w:p>
        </w:tc>
      </w:tr>
      <w:tr>
        <w:trPr>
          <w:cantSplit w:val="1"/>
        </w:trPr>
        <w:tc>
          <w:tcPr>
            <w:tcW w:type="dxa" w:w="851"/>
          </w:tcPr>
          <w:p>
            <w:pPr>
              <w:keepLines w:val="1"/>
            </w:pPr>
            <w:r>
              <w:t>etc.</w:t>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c>
          <w:tcPr>
            <w:tcW w:type="dxa" w:w="851"/>
          </w:tcPr>
          <w:p>
            <w:pPr>
              <w:keepLines w:val="1"/>
            </w:pPr>
            <w:r/>
          </w:p>
        </w:tc>
      </w:tr>
    </w:tbl>
    <w:p/>
    <w:p>
      <w:r>
        <w:t>No interviene en el cálculo del IGM, pero documenta la «calidad intrínseca» de las métricas de exposición/respuesta/impacto.</w:t>
      </w:r>
    </w:p>
    <w:p>
      <w:pPr>
        <w:pStyle w:val="Heading2"/>
        <w:keepNext/>
        <w:keepLines/>
      </w:pPr>
      <w:r>
        <w:rPr>
          <w:color w:val="0066CC"/>
        </w:rPr>
        <w:t>9. Buenas prácticas generales</w:t>
      </w:r>
    </w:p>
    <w:p>
      <w:pPr>
        <w:pStyle w:val="ListBullet"/>
        <w:keepLines w:val="1"/>
        <w:keepNext w:val="1"/>
        <w:widowControl w:val="1"/>
      </w:pPr>
      <w:r>
        <w:t>Proteger las hojas con fórmulas críticas (especialmente Ponderaciones, IGM_Organizaciones y ROI).</w:t>
      </w:r>
    </w:p>
    <w:p>
      <w:pPr>
        <w:pStyle w:val="ListBullet"/>
        <w:keepLines w:val="1"/>
        <w:keepNext w:val="1"/>
        <w:widowControl w:val="1"/>
      </w:pPr>
      <w:r>
        <w:t>Documentar versión y fecha del modelo en una celda visible (por ejemplo, en Diccionario).</w:t>
      </w:r>
    </w:p>
    <w:p>
      <w:pPr>
        <w:pStyle w:val="ListBullet"/>
        <w:keepLines w:val="1"/>
        <w:keepNext w:val="1"/>
        <w:widowControl w:val="1"/>
      </w:pPr>
      <w:r>
        <w:t>Usar rangos con nombre para reducir errores al modificar el libro.</w:t>
      </w:r>
    </w:p>
    <w:p>
      <w:pPr>
        <w:pStyle w:val="ListBullet"/>
        <w:keepLines w:val="1"/>
        <w:widowControl w:val="1"/>
      </w:pPr>
      <w:r>
        <w:t>Mantener una copia «maestra» solo lectura y trabajar sobre copias para cada oleada de encuestas.</w:t>
      </w:r>
    </w:p>
    <w:p>
      <w:r>
        <w:t>Con esta plantilla, el Excel deja de ser un ente caprichoso y se convierte en un aliado: los números tendrán sentido, las comparaciones serán coherentes y, lo más importante, cualquier persona razonablemente familiarizada con hojas de cálculo podrá seguir la lógica sin necesidad de invocar espíritus de la auditoría.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