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(versión KEV)</w:t>
      </w:r>
    </w:p>
    <w:p>
      <w:r>
        <w:t>Esta plantilla describe la estructura recomendada de una presentación ejecutiva para exponer los resultados de la encuesta KEV + GQM + PRAGMATIC ante dirección general, comités de riesgo o foros sectoriales.</w:t>
      </w:r>
    </w:p>
    <w:p>
      <w:r>
        <w:t>Cada sección corresponderá normalmente a una o varias diapositivas.</w:t>
      </w:r>
    </w:p>
    <w:p>
      <w:pPr>
        <w:pStyle w:val="Heading2"/>
        <w:keepNext/>
        <w:keepLines/>
      </w:pPr>
      <w:r>
        <w:rPr>
          <w:color w:val="0066CC"/>
        </w:rPr>
        <w:t>Diapositiva 1. Portada</w:t>
      </w:r>
    </w:p>
    <w:p>
      <w:pPr>
        <w:pStyle w:val="ListBullet"/>
        <w:keepLines w:val="1"/>
        <w:keepNext w:val="1"/>
        <w:widowControl w:val="1"/>
      </w:pPr>
      <w:r>
        <w:t>Título sugerido: «Diagnóstico de Madurez en Gestión de Vulnerabilidades KEV y Resiliencia Digital».</w:t>
      </w:r>
    </w:p>
    <w:p>
      <w:pPr>
        <w:pStyle w:val="ListBullet"/>
        <w:keepLines w:val="1"/>
        <w:keepNext w:val="1"/>
        <w:widowControl w:val="1"/>
      </w:pPr>
      <w:r>
        <w:t>Subtítulo: «Resultados de la encuesta organizativa / sectorial».</w:t>
      </w:r>
    </w:p>
    <w:p>
      <w:pPr>
        <w:pStyle w:val="ListBullet"/>
        <w:keepLines w:val="1"/>
        <w:widowControl w:val="1"/>
      </w:pPr>
      <w:r>
        <w:t>Datos: nombre de la organización(es), fecha, área responsable.</w:t>
      </w:r>
    </w:p>
    <w:p>
      <w:r>
        <w:t>Opcional: breve claim como «De los CVE al riesgo real: cómo nos afectan las KEV».</w:t>
      </w:r>
    </w:p>
    <w:p>
      <w:pPr>
        <w:pStyle w:val="Heading2"/>
        <w:keepNext/>
        <w:keepLines/>
      </w:pPr>
      <w:r>
        <w:rPr>
          <w:color w:val="0066CC"/>
        </w:rPr>
        <w:t>Diapositiva 2. Resumen ejecutivo</w:t>
      </w:r>
    </w:p>
    <w:p>
      <w:r>
        <w:t>Objetivo: que alguien que solo vea esta diapositiva entienda lo esencial.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3–5 mensajes clave, por ejemplo:</w:t>
      </w:r>
    </w:p>
    <w:p>
      <w:pPr>
        <w:pStyle w:val="ListBullet"/>
        <w:keepLines w:val="1"/>
        <w:keepNext w:val="1"/>
        <w:widowControl w:val="1"/>
      </w:pPr>
      <w:r>
        <w:t>Nivel global de madurez (IGM) y nivel cualitativo (Inicial, Básico, Definido, Gestionado, Optimizado).</w:t>
      </w:r>
    </w:p>
    <w:p>
      <w:pPr>
        <w:pStyle w:val="ListBullet"/>
        <w:keepLines w:val="1"/>
        <w:keepNext w:val="1"/>
        <w:widowControl w:val="1"/>
      </w:pPr>
      <w:r>
        <w:t>2–3 fortalezas (por ejemplo, buena capacidad de detección, programas de formación consolidados).</w:t>
      </w:r>
    </w:p>
    <w:p>
      <w:pPr>
        <w:pStyle w:val="ListBullet"/>
        <w:keepLines w:val="1"/>
        <w:keepNext w:val="1"/>
        <w:widowControl w:val="1"/>
      </w:pPr>
      <w:r>
        <w:t>2–3 áreas críticas (por ejemplo, lentitud en remediar KEV, inventarios incompletos, baja integración de KEV en el SOC).</w:t>
      </w:r>
    </w:p>
    <w:p>
      <w:pPr>
        <w:pStyle w:val="ListBullet"/>
        <w:keepLines w:val="1"/>
        <w:widowControl w:val="1"/>
      </w:pPr>
      <w:r>
        <w:t>Gráfico simple (barra o velocímetro) mostrando el IGM global.</w:t>
      </w:r>
    </w:p>
    <w:p>
      <w:r>
        <w:t>Estilo: directo, orientado a negocio, sin jerga innecesaria.</w:t>
      </w:r>
    </w:p>
    <w:p>
      <w:pPr>
        <w:pStyle w:val="Heading2"/>
        <w:keepNext/>
        <w:keepLines/>
      </w:pPr>
      <w:r>
        <w:rPr>
          <w:color w:val="0066CC"/>
        </w:rPr>
        <w:t>Diapositiva 3. Contexto y objetivos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Breve explicación del contexto externo:</w:t>
      </w:r>
    </w:p>
    <w:p>
      <w:pPr>
        <w:pStyle w:val="ListBullet"/>
        <w:keepLines w:val="1"/>
        <w:keepNext w:val="1"/>
        <w:widowControl w:val="1"/>
      </w:pPr>
      <w:r>
        <w:t>Tendencias de KEV (crecimiento del catálogo, foco en perímetro, impacto en ransomware, etc.).</w:t>
      </w:r>
    </w:p>
    <w:p>
      <w:pPr>
        <w:pStyle w:val="ListBullet"/>
        <w:keepLines w:val="1"/>
        <w:keepNext w:val="1"/>
        <w:widowControl w:val="1"/>
      </w:pPr>
      <w:r>
        <w:t>Referencias a marcos (NIS2, ENS, ENISA, CISA KEV).</w:t>
      </w:r>
    </w:p>
    <w:p>
      <w:pPr>
        <w:pStyle w:val="ListBullet"/>
        <w:keepLines w:val="1"/>
        <w:keepNext w:val="1"/>
        <w:widowControl w:val="1"/>
      </w:pPr>
      <w:r>
        <w:t>Objetivos de la evaluación:</w:t>
      </w:r>
    </w:p>
    <w:p>
      <w:pPr>
        <w:pStyle w:val="ListBullet"/>
        <w:keepLines w:val="1"/>
        <w:keepNext w:val="1"/>
        <w:widowControl w:val="1"/>
      </w:pPr>
      <w:r>
        <w:t>Medir la madurez en gestión de vulnerabilidades y KEV.</w:t>
      </w:r>
    </w:p>
    <w:p>
      <w:pPr>
        <w:pStyle w:val="ListBullet"/>
        <w:keepLines w:val="1"/>
        <w:keepNext w:val="1"/>
        <w:widowControl w:val="1"/>
      </w:pPr>
      <w:r>
        <w:t>Identificar brechas y priorizar inversiones.</w:t>
      </w:r>
    </w:p>
    <w:p>
      <w:pPr>
        <w:pStyle w:val="ListBullet"/>
        <w:keepLines w:val="1"/>
        <w:widowControl w:val="1"/>
      </w:pPr>
      <w:r>
        <w:t>Establecer una línea base para seguimiento.</w:t>
      </w:r>
    </w:p>
    <w:p>
      <w:r>
        <w:t>Gráfico opcional: línea de tiempo o esquema de las «capas» del modelo (GQM, PRAGMATIC, encuesta, indicadores KEV).</w:t>
      </w:r>
    </w:p>
    <w:p>
      <w:pPr>
        <w:pStyle w:val="Heading2"/>
        <w:keepNext/>
        <w:keepLines/>
      </w:pPr>
      <w:r>
        <w:rPr>
          <w:color w:val="0066CC"/>
        </w:rPr>
        <w:t>Diapositiva 4. Metodología</w:t>
      </w:r>
    </w:p>
    <w:p>
      <w:r>
        <w:t>Contenido:</w:t>
      </w:r>
    </w:p>
    <w:p>
      <w:pPr>
        <w:pStyle w:val="ListBullet"/>
        <w:keepLines w:val="1"/>
        <w:keepNext w:val="1"/>
        <w:widowControl w:val="1"/>
      </w:pPr>
      <w:r>
        <w:t>Resumen del enfoque GQM:</w:t>
      </w:r>
    </w:p>
    <w:p>
      <w:pPr>
        <w:pStyle w:val="ListBullet"/>
        <w:keepLines w:val="1"/>
        <w:keepNext w:val="1"/>
        <w:widowControl w:val="1"/>
      </w:pPr>
      <w:r>
        <w:t>Objetivos → Preguntas → Métricas.</w:t>
      </w:r>
    </w:p>
    <w:p>
      <w:pPr>
        <w:pStyle w:val="ListBullet"/>
        <w:keepLines w:val="1"/>
        <w:keepNext w:val="1"/>
        <w:widowControl w:val="1"/>
      </w:pPr>
      <w:r>
        <w:t>Uso de PRAGMATIC para filtrar métricas.</w:t>
      </w:r>
    </w:p>
    <w:p>
      <w:pPr>
        <w:pStyle w:val="ListBullet"/>
        <w:keepLines w:val="1"/>
        <w:keepNext w:val="1"/>
        <w:widowControl w:val="1"/>
      </w:pPr>
      <w:r>
        <w:t>Información práctica:</w:t>
      </w:r>
    </w:p>
    <w:p>
      <w:pPr>
        <w:pStyle w:val="ListBullet"/>
        <w:keepLines w:val="1"/>
        <w:keepNext w:val="1"/>
        <w:widowControl w:val="1"/>
      </w:pPr>
      <w:r>
        <w:t>Nº de organizaciones participantes.</w:t>
      </w:r>
    </w:p>
    <w:p>
      <w:pPr>
        <w:pStyle w:val="ListBullet"/>
        <w:keepLines w:val="1"/>
        <w:keepNext w:val="1"/>
        <w:widowControl w:val="1"/>
      </w:pPr>
      <w:r>
        <w:t>Perfiles de respuesta (CISO, TI, SOC, etc.).</w:t>
      </w:r>
    </w:p>
    <w:p>
      <w:pPr>
        <w:pStyle w:val="ListBullet"/>
        <w:keepLines w:val="1"/>
        <w:widowControl w:val="1"/>
      </w:pPr>
      <w:r>
        <w:t>Periodo de recogida.</w:t>
      </w:r>
    </w:p>
    <w:p>
      <w:r>
        <w:t xml:space="preserve">Gráfico sugerido: diagrama de flujo sencillo con las fases: </w:t>
      </w:r>
      <w:r>
        <w:rPr>
          <w:b/>
        </w:rPr>
        <w:t>Encuesta → IGM/Indicadores KEV → Análisis → Recomendaciones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Diapositiva 5. Índice Global de Madurez (IGM)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Gráfico principal: velocímetro o barra con el IGM en escala 0–100.</w:t>
      </w:r>
    </w:p>
    <w:p>
      <w:pPr>
        <w:pStyle w:val="ListBullet"/>
        <w:keepLines w:val="1"/>
        <w:keepNext w:val="1"/>
        <w:widowControl w:val="1"/>
      </w:pPr>
      <w:r>
        <w:t>Nivel cualitativo asociado (por ejemplo, «Nivel 3 – Definido»).</w:t>
      </w:r>
    </w:p>
    <w:p>
      <w:pPr>
        <w:pStyle w:val="ListBullet"/>
        <w:keepLines w:val="1"/>
        <w:keepNext w:val="1"/>
        <w:widowControl w:val="1"/>
      </w:pPr>
      <w:r>
        <w:t>Breve interpretación:</w:t>
      </w:r>
    </w:p>
    <w:p>
      <w:pPr>
        <w:pStyle w:val="ListBullet"/>
        <w:keepLines w:val="1"/>
        <w:keepNext w:val="1"/>
        <w:widowControl w:val="1"/>
      </w:pPr>
      <w:r>
        <w:t>Qué significa estar en ese nivel.</w:t>
      </w:r>
    </w:p>
    <w:p>
      <w:pPr>
        <w:pStyle w:val="ListBullet"/>
        <w:keepLines w:val="1"/>
        <w:widowControl w:val="1"/>
      </w:pPr>
      <w:r>
        <w:t>Qué se esperaría en el nivel superior.</w:t>
      </w:r>
    </w:p>
    <w:p>
      <w:pPr>
        <w:pStyle w:val="Heading2"/>
        <w:keepNext/>
        <w:keepLines/>
      </w:pPr>
      <w:r>
        <w:rPr>
          <w:color w:val="0066CC"/>
        </w:rPr>
        <w:t>Diapositiva 6. Madurez por dimensión</w:t>
      </w:r>
    </w:p>
    <w:p>
      <w:r>
        <w:t>Contenido:</w:t>
      </w:r>
    </w:p>
    <w:p>
      <w:pPr>
        <w:pStyle w:val="ListBullet"/>
        <w:keepLines w:val="1"/>
        <w:keepNext w:val="1"/>
        <w:widowControl w:val="1"/>
      </w:pPr>
      <w:r>
        <w:t>Gráfico radar o barras comparando:</w:t>
      </w:r>
    </w:p>
    <w:p>
      <w:pPr>
        <w:pStyle w:val="ListBullet"/>
        <w:keepLines w:val="1"/>
        <w:keepNext w:val="1"/>
        <w:widowControl w:val="1"/>
      </w:pPr>
      <w:r>
        <w:t>IGM_GOV (Gobierno).</w:t>
      </w:r>
    </w:p>
    <w:p>
      <w:pPr>
        <w:pStyle w:val="ListBullet"/>
        <w:keepLines w:val="1"/>
        <w:keepNext w:val="1"/>
        <w:widowControl w:val="1"/>
      </w:pPr>
      <w:r>
        <w:t>IGM_VUL (Gestión de vulnerabilidades y KEV).</w:t>
      </w:r>
    </w:p>
    <w:p>
      <w:pPr>
        <w:pStyle w:val="ListBullet"/>
        <w:keepLines w:val="1"/>
        <w:keepNext w:val="1"/>
        <w:widowControl w:val="1"/>
      </w:pPr>
      <w:r>
        <w:t>IGM_PEN (Pentesting).</w:t>
      </w:r>
    </w:p>
    <w:p>
      <w:pPr>
        <w:pStyle w:val="ListBullet"/>
        <w:keepLines w:val="1"/>
        <w:keepNext w:val="1"/>
        <w:widowControl w:val="1"/>
      </w:pPr>
      <w:r>
        <w:t>IGM_SIEM (Monitorización y detección).</w:t>
      </w:r>
    </w:p>
    <w:p>
      <w:pPr>
        <w:pStyle w:val="ListBullet"/>
        <w:keepLines w:val="1"/>
        <w:keepNext w:val="1"/>
        <w:widowControl w:val="1"/>
      </w:pPr>
      <w:r>
        <w:t>IGM_AWR (Capacitación y cultura).</w:t>
      </w:r>
    </w:p>
    <w:p>
      <w:pPr>
        <w:pStyle w:val="ListBullet"/>
        <w:keepLines w:val="1"/>
        <w:widowControl w:val="1"/>
      </w:pPr>
      <w:r>
        <w:t>IGM_MET (Métricas y ROI).</w:t>
      </w:r>
    </w:p>
    <w:p>
      <w:r>
        <w:t>Comentarios:</w:t>
      </w:r>
    </w:p>
    <w:p>
      <w:pPr>
        <w:pStyle w:val="ListBullet"/>
        <w:keepLines w:val="1"/>
        <w:keepNext w:val="1"/>
        <w:widowControl w:val="1"/>
      </w:pPr>
      <w:r>
        <w:t>Dimensiones por encima de la media (fortalezas).</w:t>
      </w:r>
    </w:p>
    <w:p>
      <w:pPr>
        <w:pStyle w:val="ListBullet"/>
        <w:keepLines w:val="1"/>
        <w:widowControl w:val="1"/>
      </w:pPr>
      <w:r>
        <w:t>Dimensiones por debajo de la media (oportunidades claras de mejora).</w:t>
      </w:r>
    </w:p>
    <w:p>
      <w:pPr>
        <w:pStyle w:val="Heading2"/>
        <w:keepNext/>
        <w:keepLines/>
      </w:pPr>
      <w:r>
        <w:rPr>
          <w:color w:val="0066CC"/>
        </w:rPr>
        <w:t>Diapositivas 7–8. Foco en Gobernanza y Estrategia (GOV)</w:t>
      </w:r>
    </w:p>
    <w:p>
      <w:r>
        <w:t>Elementos posibles:</w:t>
      </w:r>
    </w:p>
    <w:p>
      <w:pPr>
        <w:pStyle w:val="ListBullet"/>
        <w:keepLines w:val="1"/>
        <w:keepNext w:val="1"/>
        <w:widowControl w:val="1"/>
      </w:pPr>
      <w:r>
        <w:t>% de organizaciones con política formal que menciona KEV.</w:t>
      </w:r>
    </w:p>
    <w:p>
      <w:pPr>
        <w:pStyle w:val="ListBullet"/>
        <w:keepLines w:val="1"/>
        <w:keepNext w:val="1"/>
        <w:widowControl w:val="1"/>
      </w:pPr>
      <w:r>
        <w:t>% con roles definidos y SLAs específicos de remediación.</w:t>
      </w:r>
    </w:p>
    <w:p>
      <w:pPr>
        <w:pStyle w:val="ListBullet"/>
        <w:keepLines w:val="1"/>
        <w:widowControl w:val="1"/>
      </w:pPr>
      <w:r>
        <w:t>Frecuencia declarada de revisión del catálogo KEV.</w:t>
      </w:r>
    </w:p>
    <w:p>
      <w:r>
        <w:t>Gráficos: barras apiladas por nivel de madurez en GOV-01, GOV-02, GOV-04.</w:t>
      </w:r>
    </w:p>
    <w:p>
      <w:r>
        <w:t>Mensaje clave: grado de «institucionalización» de la gestión de KEV.</w:t>
      </w:r>
    </w:p>
    <w:p>
      <w:pPr>
        <w:pStyle w:val="Heading2"/>
        <w:keepNext/>
        <w:keepLines/>
      </w:pPr>
      <w:r>
        <w:rPr>
          <w:color w:val="0066CC"/>
        </w:rPr>
        <w:t>Diapositivas 9–10. Foco en Gestión Operativa de Vulnerabilidades y KEV (VUL)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Nivel de inventario de activos.</w:t>
      </w:r>
    </w:p>
    <w:p>
      <w:pPr>
        <w:pStyle w:val="ListBullet"/>
        <w:keepLines w:val="1"/>
        <w:keepNext w:val="1"/>
        <w:widowControl w:val="1"/>
      </w:pPr>
      <w:r>
        <w:t>Uso de escáneres con etiquetado KEV.</w:t>
      </w:r>
    </w:p>
    <w:p>
      <w:pPr>
        <w:pStyle w:val="ListBullet"/>
        <w:keepLines w:val="1"/>
        <w:keepNext w:val="1"/>
        <w:widowControl w:val="1"/>
      </w:pPr>
      <w:r>
        <w:t>Medición de tiempos de remediación y % de KEV en plazo.</w:t>
      </w:r>
    </w:p>
    <w:p>
      <w:pPr>
        <w:pStyle w:val="ListBullet"/>
        <w:keepLines w:val="1"/>
        <w:widowControl w:val="1"/>
      </w:pPr>
      <w:r>
        <w:t>Tratamiento diferenciado de dispositivos perimetrales y sistemas legacy.</w:t>
      </w:r>
    </w:p>
    <w:p>
      <w:r>
        <w:t>Gráficos recomendados:</w:t>
      </w:r>
    </w:p>
    <w:p>
      <w:pPr>
        <w:pStyle w:val="ListBullet"/>
        <w:keepLines w:val="1"/>
        <w:keepNext w:val="1"/>
        <w:widowControl w:val="1"/>
      </w:pPr>
      <w:r>
        <w:t>Barras para VUL-01, VUL-02, VUL-04.</w:t>
      </w:r>
    </w:p>
    <w:p>
      <w:pPr>
        <w:pStyle w:val="ListBullet"/>
        <w:keepLines w:val="1"/>
        <w:keepNext w:val="1"/>
        <w:widowControl w:val="1"/>
      </w:pPr>
      <w:r>
        <w:t>Tabla/resumen con indicadores agregados KEV:</w:t>
      </w:r>
    </w:p>
    <w:p>
      <w:pPr>
        <w:pStyle w:val="ListBullet"/>
        <w:keepLines w:val="1"/>
        <w:keepNext w:val="1"/>
        <w:widowControl w:val="1"/>
      </w:pPr>
      <w:r>
        <w:t>% de organizaciones con ≥1 KEV abierta.</w:t>
      </w:r>
    </w:p>
    <w:p>
      <w:pPr>
        <w:pStyle w:val="ListBullet"/>
        <w:keepLines w:val="1"/>
        <w:keepNext w:val="1"/>
        <w:widowControl w:val="1"/>
      </w:pPr>
      <w:r>
        <w:t>Densidad media de KEV.</w:t>
      </w:r>
    </w:p>
    <w:p>
      <w:pPr>
        <w:pStyle w:val="ListBullet"/>
        <w:keepLines w:val="1"/>
        <w:widowControl w:val="1"/>
      </w:pPr>
      <w:r>
        <w:t>Mediana de días de remediación KEV (si se dispone de datos).</w:t>
      </w:r>
    </w:p>
    <w:p>
      <w:r>
        <w:t>Mensaje clave: qué tan controlada está la «superficie KEV» del parque tecnológico.</w:t>
      </w:r>
    </w:p>
    <w:p>
      <w:pPr>
        <w:pStyle w:val="Heading2"/>
        <w:keepNext/>
        <w:keepLines/>
      </w:pPr>
      <w:r>
        <w:rPr>
          <w:color w:val="0066CC"/>
        </w:rPr>
        <w:t>Diapositiva 11. Pruebas de penetración y ejercicios (PEN)</w:t>
      </w:r>
    </w:p>
    <w:p>
      <w:r>
        <w:t>Contenido:</w:t>
      </w:r>
    </w:p>
    <w:p>
      <w:pPr>
        <w:pStyle w:val="ListBullet"/>
        <w:keepLines w:val="1"/>
        <w:keepNext w:val="1"/>
        <w:widowControl w:val="1"/>
      </w:pPr>
      <w:r>
        <w:t>Frecuencia de pentests.</w:t>
      </w:r>
    </w:p>
    <w:p>
      <w:pPr>
        <w:pStyle w:val="ListBullet"/>
        <w:keepLines w:val="1"/>
        <w:keepNext w:val="1"/>
        <w:widowControl w:val="1"/>
      </w:pPr>
      <w:r>
        <w:t>Integración de KEV en el alcance de pruebas.</w:t>
      </w:r>
    </w:p>
    <w:p>
      <w:pPr>
        <w:pStyle w:val="ListBullet"/>
        <w:keepLines w:val="1"/>
        <w:keepNext w:val="1"/>
        <w:widowControl w:val="1"/>
      </w:pPr>
      <w:r>
        <w:t>Presencia de ejercicios Red/Purple Team.</w:t>
      </w:r>
    </w:p>
    <w:p>
      <w:pPr>
        <w:pStyle w:val="ListBullet"/>
        <w:keepLines w:val="1"/>
        <w:widowControl w:val="1"/>
      </w:pPr>
      <w:r>
        <w:t>Gestión de hallazgos.</w:t>
      </w:r>
    </w:p>
    <w:p>
      <w:r>
        <w:t>Gráficos: barras para PEN-01, PEN-02, PEN-04.</w:t>
      </w:r>
    </w:p>
    <w:p>
      <w:r>
        <w:t>Narrativa: diferencia entre pentests «cosméticos» y pruebas alineadas con amenazas reales.</w:t>
      </w:r>
    </w:p>
    <w:p>
      <w:pPr>
        <w:pStyle w:val="Heading2"/>
        <w:keepNext/>
        <w:keepLines/>
      </w:pPr>
      <w:r>
        <w:rPr>
          <w:color w:val="0066CC"/>
        </w:rPr>
        <w:t>Diapositivas 12–13. Monitorización, SIEM y detección (SIEM)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Situación SIEM/SOC (inexistente, parcial, 24x7 interno/externo).</w:t>
      </w:r>
    </w:p>
    <w:p>
      <w:pPr>
        <w:pStyle w:val="ListBullet"/>
        <w:keepLines w:val="1"/>
        <w:keepNext w:val="1"/>
        <w:widowControl w:val="1"/>
      </w:pPr>
      <w:r>
        <w:t>Casos de uso específicos para explotación de vulnerabilidades.</w:t>
      </w:r>
    </w:p>
    <w:p>
      <w:pPr>
        <w:pStyle w:val="ListBullet"/>
        <w:keepLines w:val="1"/>
        <w:keepNext w:val="1"/>
        <w:widowControl w:val="1"/>
      </w:pPr>
      <w:r>
        <w:t>Integración de inteligencia de amenazas/KEV.</w:t>
      </w:r>
    </w:p>
    <w:p>
      <w:pPr>
        <w:pStyle w:val="ListBullet"/>
        <w:keepLines w:val="1"/>
        <w:widowControl w:val="1"/>
      </w:pPr>
      <w:r>
        <w:t>Uso de detección basada en comportamiento.</w:t>
      </w:r>
    </w:p>
    <w:p>
      <w:r>
        <w:t>Gráficos posibles:</w:t>
      </w:r>
    </w:p>
    <w:p>
      <w:pPr>
        <w:pStyle w:val="ListBullet"/>
        <w:keepLines w:val="1"/>
        <w:keepNext w:val="1"/>
        <w:widowControl w:val="1"/>
      </w:pPr>
      <w:r>
        <w:t>Diagrama de barras SIEM-01 (situación actual de SOC).</w:t>
      </w:r>
    </w:p>
    <w:p>
      <w:pPr>
        <w:pStyle w:val="ListBullet"/>
        <w:keepLines w:val="1"/>
        <w:widowControl w:val="1"/>
      </w:pPr>
      <w:r>
        <w:t>Gráfico de columnas agrupadas para SIEM-02, SIEM-04, SIEM-05.</w:t>
      </w:r>
    </w:p>
    <w:p>
      <w:r>
        <w:t>Mensaje clave: capacidad real de «ver y entender» cuando se explota una KEV.</w:t>
      </w:r>
    </w:p>
    <w:p>
      <w:pPr>
        <w:pStyle w:val="Heading2"/>
        <w:keepNext/>
        <w:keepLines/>
      </w:pPr>
      <w:r>
        <w:rPr>
          <w:color w:val="0066CC"/>
        </w:rPr>
        <w:t>Diapositiva 14. Capacitación y cultura (AWR)</w:t>
      </w:r>
    </w:p>
    <w:p>
      <w:r>
        <w:t>Contenido:</w:t>
      </w:r>
    </w:p>
    <w:p>
      <w:pPr>
        <w:pStyle w:val="ListBullet"/>
        <w:keepLines w:val="1"/>
        <w:keepNext w:val="1"/>
        <w:widowControl w:val="1"/>
      </w:pPr>
      <w:r>
        <w:t>Existencia de programa de formación general.</w:t>
      </w:r>
    </w:p>
    <w:p>
      <w:pPr>
        <w:pStyle w:val="ListBullet"/>
        <w:keepLines w:val="1"/>
        <w:keepNext w:val="1"/>
        <w:widowControl w:val="1"/>
      </w:pPr>
      <w:r>
        <w:t>Formación técnica específica en vulnerabilidades/KEV.</w:t>
      </w:r>
    </w:p>
    <w:p>
      <w:pPr>
        <w:pStyle w:val="ListBullet"/>
        <w:keepLines w:val="1"/>
        <w:widowControl w:val="1"/>
      </w:pPr>
      <w:r>
        <w:t>Simulaciones y cultura de reporte.</w:t>
      </w:r>
    </w:p>
    <w:p>
      <w:r>
        <w:t>Gráficos: barras para AWR-01, AWR-02, AWR-03, AWR-04.</w:t>
      </w:r>
    </w:p>
    <w:p>
      <w:r>
        <w:t>Narrativa: el factor humano como amortiguador o amplificador del riesgo técnico.</w:t>
      </w:r>
    </w:p>
    <w:p>
      <w:pPr>
        <w:pStyle w:val="Heading2"/>
        <w:keepNext/>
        <w:keepLines/>
      </w:pPr>
      <w:r>
        <w:rPr>
          <w:color w:val="0066CC"/>
        </w:rPr>
        <w:t>Diapositiva 15. Métricas y ROI (MET)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Indicadores sobre vulnerabilidades/KEV (MET-01).</w:t>
      </w:r>
    </w:p>
    <w:p>
      <w:pPr>
        <w:pStyle w:val="ListBullet"/>
        <w:keepLines w:val="1"/>
        <w:keepNext w:val="1"/>
        <w:widowControl w:val="1"/>
      </w:pPr>
      <w:r>
        <w:t>Indicadores sobre pentesting y SIEM (MET-02).</w:t>
      </w:r>
    </w:p>
    <w:p>
      <w:pPr>
        <w:pStyle w:val="ListBullet"/>
        <w:keepLines w:val="1"/>
        <w:keepNext w:val="1"/>
        <w:widowControl w:val="1"/>
      </w:pPr>
      <w:r>
        <w:t>Uso de benchmarks externos (MET-03).</w:t>
      </w:r>
    </w:p>
    <w:p>
      <w:pPr>
        <w:pStyle w:val="ListBullet"/>
        <w:keepLines w:val="1"/>
        <w:widowControl w:val="1"/>
      </w:pPr>
      <w:r>
        <w:t>Prácticas de cálculo de ROI (MET-04).</w:t>
      </w:r>
    </w:p>
    <w:p>
      <w:r>
        <w:t>Gráfico: tabla resumen con niveles de madurez MET, más uno o dos ejemplos de iniciativas con mejor ROI estimado.</w:t>
      </w:r>
    </w:p>
    <w:p>
      <w:r>
        <w:t xml:space="preserve">Mensaje: pasar de «gastos necesarios» a </w:t>
      </w:r>
      <w:r>
        <w:rPr>
          <w:b/>
        </w:rPr>
        <w:t>inversiones justificadas</w:t>
      </w:r>
      <w:r>
        <w:t xml:space="preserve"> en seguridad.</w:t>
      </w:r>
    </w:p>
    <w:p>
      <w:pPr>
        <w:pStyle w:val="Heading2"/>
        <w:keepNext/>
        <w:keepLines/>
      </w:pPr>
      <w:r>
        <w:rPr>
          <w:color w:val="0066CC"/>
        </w:rPr>
        <w:t>Diapositiva 16. Indicadores KEV nacionales clave (si aplica a estudio sectorial/país)</w:t>
      </w:r>
    </w:p>
    <w:p>
      <w:r>
        <w:t>Contenido:</w:t>
      </w:r>
    </w:p>
    <w:p>
      <w:pPr>
        <w:pStyle w:val="ListBullet"/>
        <w:keepLines w:val="1"/>
        <w:keepNext w:val="1"/>
        <w:widowControl w:val="1"/>
      </w:pPr>
      <w:r>
        <w:t>% de organizaciones evaluadas con ≥1 KEV abierta (E1).</w:t>
      </w:r>
    </w:p>
    <w:p>
      <w:pPr>
        <w:pStyle w:val="ListBullet"/>
        <w:keepLines w:val="1"/>
        <w:keepNext w:val="1"/>
        <w:widowControl w:val="1"/>
      </w:pPr>
      <w:r>
        <w:t>Densidad media de KEV por organización (E2).</w:t>
      </w:r>
    </w:p>
    <w:p>
      <w:pPr>
        <w:pStyle w:val="ListBullet"/>
        <w:keepLines w:val="1"/>
        <w:keepNext w:val="1"/>
        <w:widowControl w:val="1"/>
      </w:pPr>
      <w:r>
        <w:t>Mediana de días de remediación KEV (R1).</w:t>
      </w:r>
    </w:p>
    <w:p>
      <w:pPr>
        <w:pStyle w:val="ListBullet"/>
        <w:keepLines w:val="1"/>
        <w:widowControl w:val="1"/>
      </w:pPr>
      <w:r>
        <w:t>% de KEV remediadas dentro del plazo objetivo (R2).</w:t>
      </w:r>
    </w:p>
    <w:p>
      <w:r>
        <w:t>Gráficos: 2–3 gráficas sencillas (barras, caja y bigotes para tiempos, etc.).</w:t>
      </w:r>
    </w:p>
    <w:p>
      <w:r>
        <w:t>Narrativa: conectar la foto del sector/país con benchmarks globales.</w:t>
      </w:r>
    </w:p>
    <w:p>
      <w:pPr>
        <w:pStyle w:val="Heading2"/>
        <w:keepNext/>
        <w:keepLines/>
      </w:pPr>
      <w:r>
        <w:rPr>
          <w:color w:val="0066CC"/>
        </w:rPr>
        <w:t>Diapositivas 17–18. Priorización de iniciativas</w:t>
      </w:r>
    </w:p>
    <w:p>
      <w:r>
        <w:t>Propuesta de 4–6 iniciativas ordenadas según impacto y esfuerzo (o ROI).</w:t>
      </w:r>
    </w:p>
    <w:p>
      <w:r>
        <w:t>Tabla sugerida:</w:t>
      </w:r>
    </w:p>
    <w:p>
      <w:pPr>
        <w:pStyle w:val="ListBullet"/>
        <w:keepLines w:val="1"/>
        <w:keepNext w:val="1"/>
        <w:widowControl w:val="1"/>
      </w:pPr>
      <w:r>
        <w:t>Iniciativa.</w:t>
      </w:r>
    </w:p>
    <w:p>
      <w:pPr>
        <w:pStyle w:val="ListBullet"/>
        <w:keepLines w:val="1"/>
        <w:keepNext w:val="1"/>
        <w:widowControl w:val="1"/>
      </w:pPr>
      <w:r>
        <w:t>Dimensión principal (GOV, VUL, SIEM, etc.).</w:t>
      </w:r>
    </w:p>
    <w:p>
      <w:pPr>
        <w:pStyle w:val="ListBullet"/>
        <w:keepLines w:val="1"/>
        <w:keepNext w:val="1"/>
        <w:widowControl w:val="1"/>
      </w:pPr>
      <w:r>
        <w:t>Impacto esperado.</w:t>
      </w:r>
    </w:p>
    <w:p>
      <w:pPr>
        <w:pStyle w:val="ListBullet"/>
        <w:keepLines w:val="1"/>
        <w:keepNext w:val="1"/>
        <w:widowControl w:val="1"/>
      </w:pPr>
      <w:r>
        <w:t>Esfuerzo/coste.</w:t>
      </w:r>
    </w:p>
    <w:p>
      <w:pPr>
        <w:pStyle w:val="ListBullet"/>
        <w:keepLines w:val="1"/>
        <w:widowControl w:val="1"/>
      </w:pPr>
      <w:r>
        <w:t>ROI estimado (si se ha calculado).</w:t>
      </w:r>
    </w:p>
    <w:p>
      <w:r>
        <w:t>Gráfico posible: matriz impacto/esfuerzo (Quick wins, Proyectos estratégicos, etc.).</w:t>
      </w:r>
    </w:p>
    <w:p>
      <w:pPr>
        <w:pStyle w:val="Heading2"/>
        <w:keepNext/>
        <w:keepLines/>
      </w:pPr>
      <w:r>
        <w:rPr>
          <w:color w:val="0066CC"/>
        </w:rPr>
        <w:t>Diapositivas 19–20. Roadmap de mejora</w:t>
      </w:r>
    </w:p>
    <w:p>
      <w:r>
        <w:t>Contenido:</w:t>
      </w:r>
    </w:p>
    <w:p>
      <w:pPr>
        <w:pStyle w:val="ListBullet"/>
        <w:keepLines w:val="1"/>
        <w:keepNext w:val="1"/>
        <w:widowControl w:val="1"/>
      </w:pPr>
      <w:r>
        <w:t>Roadmap en tres horizontes:</w:t>
      </w:r>
    </w:p>
    <w:p>
      <w:pPr>
        <w:pStyle w:val="ListBullet"/>
        <w:keepLines w:val="1"/>
        <w:keepNext w:val="1"/>
        <w:widowControl w:val="1"/>
      </w:pPr>
      <w:r>
        <w:t>Corto plazo (0–12 meses): acciones urgentes y quick wins.</w:t>
      </w:r>
    </w:p>
    <w:p>
      <w:pPr>
        <w:pStyle w:val="ListBullet"/>
        <w:keepLines w:val="1"/>
        <w:keepNext w:val="1"/>
        <w:widowControl w:val="1"/>
      </w:pPr>
      <w:r>
        <w:t>Medio plazo (1–2 años): consolidación y automatización.</w:t>
      </w:r>
    </w:p>
    <w:p>
      <w:pPr>
        <w:pStyle w:val="ListBullet"/>
        <w:keepLines w:val="1"/>
        <w:widowControl w:val="1"/>
      </w:pPr>
      <w:r>
        <w:t>Largo plazo (&gt;2 años): optimización, analítica avanzada, alineamiento pleno con negocio.</w:t>
      </w:r>
    </w:p>
    <w:p>
      <w:r>
        <w:t>Gráfico: diagrama de Gantt de alto nivel o roadmap en formato carril (por dimensión).</w:t>
      </w:r>
    </w:p>
    <w:p>
      <w:pPr>
        <w:pStyle w:val="Heading2"/>
        <w:keepNext/>
        <w:keepLines/>
      </w:pPr>
      <w:r>
        <w:rPr>
          <w:color w:val="0066CC"/>
        </w:rPr>
        <w:t>Diapositiva final. Conclusiones y próximos pasos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3–5 conclusiones clave.</w:t>
      </w:r>
    </w:p>
    <w:p>
      <w:pPr>
        <w:pStyle w:val="ListBullet"/>
        <w:keepLines w:val="1"/>
        <w:widowControl w:val="1"/>
      </w:pPr>
      <w:r>
        <w:t>3–5 próximos pasos concretos (por ejemplo, «definir plan KEV de país», «implantar SLAs mínimos por sector», «repetir encuesta en 18 meses»).</w:t>
      </w:r>
    </w:p>
    <w:p>
      <w:r>
        <w:t>Cierre sugerido:</w:t>
      </w:r>
    </w:p>
    <w:p>
      <w:pPr>
        <w:pStyle w:val="ListBullet"/>
        <w:keepLines w:val="1"/>
        <w:widowControl w:val="1"/>
      </w:pPr>
      <w:r>
        <w:t>Mensaje positivo, realista y ligeramente irónico: «Las KEV seguirán llegando; la diferencia entre titular de incidente y caso de éxito depende de lo que hagamos entre tanto».</w:t>
      </w:r>
    </w:p>
    <w:p>
      <w:r>
        <w:t>Con esta plantilla, los resultados de la encuesta dejan de ser un anexo inerte en formato tabla y se convierten en una historia coherente: dónde estamos, qué riesgos reales afrontamos por culpa (o gracias) a las KEV, qué podemos hacer y por qué merece la pena empezar cuanto antes.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