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(Presentación tipo PowerPoint)</w:t>
      </w:r>
    </w:p>
    <w:p>
      <w:r>
        <w:t>Esta plantilla describe una posible estructura de presentación para compartir con la alta dirección los resultados de la encuesta sobre KEV, vulnerabilidades, pentesting, SIEM y capacitación.</w:t>
      </w:r>
    </w:p>
    <w:p>
      <w:r>
        <w:t>Cada sección corresponde, en la práctica, a una o varias diapositivas.</w:t>
      </w:r>
    </w:p>
    <w:p>
      <w:pPr>
        <w:pStyle w:val="Heading2"/>
        <w:keepNext/>
        <w:keepLines/>
      </w:pPr>
      <w:r>
        <w:rPr>
          <w:color w:val="0066CC"/>
        </w:rPr>
        <w:t>Portada</w:t>
      </w:r>
    </w:p>
    <w:p>
      <w:pPr>
        <w:pStyle w:val="ListBullet"/>
        <w:keepLines w:val="1"/>
        <w:keepNext w:val="1"/>
        <w:widowControl w:val="1"/>
      </w:pPr>
      <w:r>
        <w:t>Título sugerido: «Diagnóstico de Madurez en Gestión de Vulnerabilidades, KEV y Resiliencia Digital».</w:t>
      </w:r>
    </w:p>
    <w:p>
      <w:pPr>
        <w:pStyle w:val="ListBullet"/>
        <w:keepLines w:val="1"/>
        <w:keepNext w:val="1"/>
        <w:widowControl w:val="1"/>
      </w:pPr>
      <w:r>
        <w:t>Subtítulo: «Resultados de la encuesta organizativa».</w:t>
      </w:r>
    </w:p>
    <w:p>
      <w:pPr>
        <w:pStyle w:val="ListBullet"/>
        <w:keepLines w:val="1"/>
        <w:widowControl w:val="1"/>
      </w:pPr>
      <w:r>
        <w:t>Datos: nombre de la organización, fecha, área responsable.</w:t>
      </w:r>
    </w:p>
    <w:p>
      <w:pPr>
        <w:pStyle w:val="Heading2"/>
        <w:keepNext/>
        <w:keepLines/>
      </w:pPr>
      <w:r>
        <w:rPr>
          <w:color w:val="0066CC"/>
        </w:rPr>
        <w:t>1. Resumen ejecutivo</w:t>
      </w:r>
    </w:p>
    <w:p>
      <w:r>
        <w:rPr>
          <w:b/>
        </w:rPr>
        <w:t>Objetivo de la sección</w:t>
      </w:r>
      <w:r>
        <w:t>: ofrecer en 1–2 diapositivas los mensajes clave para quienes no verán el resto del informe.</w:t>
      </w:r>
    </w:p>
    <w:p>
      <w:r>
        <w:t>Elementos recomendados:</w:t>
      </w:r>
    </w:p>
    <w:p>
      <w:pPr>
        <w:pStyle w:val="ListBullet"/>
        <w:keepLines w:val="1"/>
        <w:keepNext w:val="1"/>
        <w:widowControl w:val="1"/>
      </w:pPr>
      <w:r>
        <w:t>3–5 mensajes principales, por ejemplo:</w:t>
      </w:r>
    </w:p>
    <w:p>
      <w:pPr>
        <w:pStyle w:val="ListBullet"/>
        <w:keepLines w:val="1"/>
        <w:keepNext w:val="1"/>
        <w:widowControl w:val="1"/>
      </w:pPr>
      <w:r>
        <w:t>Nivel global de madurez (IGM) y su posición en la escala (Inicial, Básico, Definido, Gestionado, Optimizado).</w:t>
      </w:r>
    </w:p>
    <w:p>
      <w:pPr>
        <w:pStyle w:val="ListBullet"/>
        <w:keepLines w:val="1"/>
        <w:keepNext w:val="1"/>
        <w:widowControl w:val="1"/>
      </w:pPr>
      <w:r>
        <w:t>2–3 fortalezas destacadas (por ejemplo, buen programa de formación, uso de SIEM con casos de uso avanzados).</w:t>
      </w:r>
    </w:p>
    <w:p>
      <w:pPr>
        <w:pStyle w:val="ListBullet"/>
        <w:keepLines w:val="1"/>
        <w:keepNext w:val="1"/>
        <w:widowControl w:val="1"/>
      </w:pPr>
      <w:r>
        <w:t>2–3 áreas de mejora críticas (por ejemplo, ausencia de SLAs para KEV, baja frecuencia de pentests, métricas limitadas).</w:t>
      </w:r>
    </w:p>
    <w:p>
      <w:pPr>
        <w:pStyle w:val="ListBullet"/>
        <w:keepLines w:val="1"/>
        <w:widowControl w:val="1"/>
      </w:pPr>
      <w:r>
        <w:t>Un gráfico sencillo (barra o velocímetro) con el IGM global.</w:t>
      </w:r>
    </w:p>
    <w:p>
      <w:pPr>
        <w:pStyle w:val="Heading2"/>
        <w:keepNext/>
        <w:keepLines/>
      </w:pPr>
      <w:r>
        <w:rPr>
          <w:color w:val="0066CC"/>
        </w:rPr>
        <w:t>2. Contexto y objetivos de la evaluación</w:t>
      </w:r>
    </w:p>
    <w:p>
      <w:r>
        <w:t>Contenido sugerido:</w:t>
      </w:r>
    </w:p>
    <w:p>
      <w:pPr>
        <w:pStyle w:val="ListBullet"/>
        <w:keepLines w:val="1"/>
        <w:keepNext w:val="1"/>
        <w:widowControl w:val="1"/>
      </w:pPr>
      <w:r>
        <w:t>Breve explicación del contexto:</w:t>
      </w:r>
    </w:p>
    <w:p>
      <w:pPr>
        <w:pStyle w:val="ListBullet"/>
        <w:keepLines w:val="1"/>
        <w:keepNext w:val="1"/>
        <w:widowControl w:val="1"/>
      </w:pPr>
      <w:r>
        <w:t>Importancia de KEV y vulnerabilidades explotadas.</w:t>
      </w:r>
    </w:p>
    <w:p>
      <w:pPr>
        <w:pStyle w:val="ListBullet"/>
        <w:keepLines w:val="1"/>
        <w:keepNext w:val="1"/>
        <w:widowControl w:val="1"/>
      </w:pPr>
      <w:r>
        <w:t>Entorno regulatorio (ENS, NIS2, ISO, etc.).</w:t>
      </w:r>
    </w:p>
    <w:p>
      <w:pPr>
        <w:pStyle w:val="ListBullet"/>
        <w:keepLines w:val="1"/>
        <w:keepNext w:val="1"/>
        <w:widowControl w:val="1"/>
      </w:pPr>
      <w:r>
        <w:t>Objetivos específicos de la encuesta:</w:t>
      </w:r>
    </w:p>
    <w:p>
      <w:pPr>
        <w:pStyle w:val="ListBullet"/>
        <w:keepLines w:val="1"/>
        <w:keepNext w:val="1"/>
        <w:widowControl w:val="1"/>
      </w:pPr>
      <w:r>
        <w:t>Medir madurez.</w:t>
      </w:r>
    </w:p>
    <w:p>
      <w:pPr>
        <w:pStyle w:val="ListBullet"/>
        <w:keepLines w:val="1"/>
        <w:keepNext w:val="1"/>
        <w:widowControl w:val="1"/>
      </w:pPr>
      <w:r>
        <w:t>Priorizar inversiones.</w:t>
      </w:r>
    </w:p>
    <w:p>
      <w:pPr>
        <w:pStyle w:val="ListBullet"/>
        <w:keepLines w:val="1"/>
        <w:keepNext w:val="1"/>
        <w:widowControl w:val="1"/>
      </w:pPr>
      <w:r>
        <w:t>Disponer de una línea base para seguimiento.</w:t>
      </w:r>
    </w:p>
    <w:p>
      <w:pPr>
        <w:pStyle w:val="ListBullet"/>
        <w:keepLines w:val="1"/>
        <w:keepNext w:val="1"/>
        <w:widowControl w:val="1"/>
      </w:pPr>
      <w:r>
        <w:t>Alcance:</w:t>
      </w:r>
    </w:p>
    <w:p>
      <w:pPr>
        <w:pStyle w:val="ListBullet"/>
        <w:keepLines w:val="1"/>
        <w:keepNext w:val="1"/>
        <w:widowControl w:val="1"/>
      </w:pPr>
      <w:r>
        <w:t>Unidades/entidades incluidas.</w:t>
      </w:r>
    </w:p>
    <w:p>
      <w:pPr>
        <w:pStyle w:val="ListBullet"/>
        <w:keepLines w:val="1"/>
        <w:widowControl w:val="1"/>
      </w:pPr>
      <w:r>
        <w:t>Periodo de recogida de datos.</w:t>
      </w:r>
    </w:p>
    <w:p>
      <w:pPr>
        <w:pStyle w:val="Heading2"/>
        <w:keepNext/>
        <w:keepLines/>
      </w:pPr>
      <w:r>
        <w:rPr>
          <w:color w:val="0066CC"/>
        </w:rPr>
        <w:t>3. Metodología y enfoque</w:t>
      </w:r>
    </w:p>
    <w:p>
      <w:r>
        <w:t>Contenido sugerido:</w:t>
      </w:r>
    </w:p>
    <w:p>
      <w:pPr>
        <w:pStyle w:val="ListBullet"/>
        <w:keepLines w:val="1"/>
        <w:keepNext w:val="1"/>
        <w:widowControl w:val="1"/>
      </w:pPr>
      <w:r>
        <w:t>Descripción del cuestionario:</w:t>
      </w:r>
    </w:p>
    <w:p>
      <w:pPr>
        <w:pStyle w:val="ListBullet"/>
        <w:keepLines w:val="1"/>
        <w:keepNext w:val="1"/>
        <w:widowControl w:val="1"/>
      </w:pPr>
      <w:r>
        <w:t>Nº de preguntas, bloques temáticos.</w:t>
      </w:r>
    </w:p>
    <w:p>
      <w:pPr>
        <w:pStyle w:val="ListBullet"/>
        <w:keepLines w:val="1"/>
        <w:keepNext w:val="1"/>
        <w:widowControl w:val="1"/>
      </w:pPr>
      <w:r>
        <w:t>Perfiles que respondieron.</w:t>
      </w:r>
    </w:p>
    <w:p>
      <w:pPr>
        <w:pStyle w:val="ListBullet"/>
        <w:keepLines w:val="1"/>
        <w:keepNext w:val="1"/>
        <w:widowControl w:val="1"/>
      </w:pPr>
      <w:r>
        <w:t>Breve explicación del cálculo del IGM:</w:t>
      </w:r>
    </w:p>
    <w:p>
      <w:pPr>
        <w:pStyle w:val="ListBullet"/>
        <w:keepLines w:val="1"/>
        <w:keepNext w:val="1"/>
        <w:widowControl w:val="1"/>
      </w:pPr>
      <w:r>
        <w:t>Subíndices por dimensión.</w:t>
      </w:r>
    </w:p>
    <w:p>
      <w:pPr>
        <w:pStyle w:val="ListBullet"/>
        <w:keepLines w:val="1"/>
        <w:keepNext w:val="1"/>
        <w:widowControl w:val="1"/>
      </w:pPr>
      <w:r>
        <w:t>Ponderaciones aplicadas.</w:t>
      </w:r>
    </w:p>
    <w:p>
      <w:pPr>
        <w:pStyle w:val="ListBullet"/>
        <w:keepLines w:val="1"/>
        <w:keepNext w:val="1"/>
        <w:widowControl w:val="1"/>
      </w:pPr>
      <w:r>
        <w:t>Notas sobre interpretación:</w:t>
      </w:r>
    </w:p>
    <w:p>
      <w:pPr>
        <w:pStyle w:val="ListBullet"/>
        <w:keepLines w:val="1"/>
        <w:keepNext w:val="1"/>
        <w:widowControl w:val="1"/>
      </w:pPr>
      <w:r>
        <w:t>Autodiagnóstico.</w:t>
      </w:r>
    </w:p>
    <w:p>
      <w:pPr>
        <w:pStyle w:val="ListBullet"/>
        <w:keepLines w:val="1"/>
        <w:widowControl w:val="1"/>
      </w:pPr>
      <w:r>
        <w:t>Complementar con otras evidencias.</w:t>
      </w:r>
    </w:p>
    <w:p>
      <w:r>
        <w:t>Gráfico recomendado:</w:t>
      </w:r>
    </w:p>
    <w:p>
      <w:pPr>
        <w:pStyle w:val="ListBullet"/>
        <w:keepLines w:val="1"/>
        <w:widowControl w:val="1"/>
      </w:pPr>
      <w:r>
        <w:t>Esquema visual del modelo (bloques: Gobierno, Vulnerabilidades, Pentesting, SIEM, Capacitación, Métricas/ROI).</w:t>
      </w:r>
    </w:p>
    <w:p>
      <w:pPr>
        <w:pStyle w:val="Heading2"/>
        <w:keepNext/>
        <w:keepLines/>
      </w:pPr>
      <w:r>
        <w:rPr>
          <w:color w:val="0066CC"/>
        </w:rPr>
        <w:t>4. Resultados globales de madurez</w:t>
      </w:r>
    </w:p>
    <w:p>
      <w:r>
        <w:rPr>
          <w:b/>
        </w:rPr>
        <w:t>Diapositiva 4.1 – Índice Global de Madurez (IGM)</w:t>
      </w:r>
    </w:p>
    <w:p>
      <w:pPr>
        <w:pStyle w:val="ListBullet"/>
        <w:keepLines w:val="1"/>
        <w:keepNext w:val="1"/>
        <w:widowControl w:val="1"/>
      </w:pPr>
      <w:r>
        <w:t>Gráfico principal: barra o velocímetro con el valor del IGM en escala 0–100.</w:t>
      </w:r>
    </w:p>
    <w:p>
      <w:pPr>
        <w:pStyle w:val="ListBullet"/>
        <w:keepLines w:val="1"/>
        <w:widowControl w:val="1"/>
      </w:pPr>
      <w:r>
        <w:t>Texto: nivel cualitativo asociado (por ejemplo, «Nivel 3 – Definido»).</w:t>
      </w:r>
    </w:p>
    <w:p>
      <w:r>
        <w:rPr>
          <w:b/>
        </w:rPr>
        <w:t>Diapositiva 4.2 – Subíndices por dimensión</w:t>
      </w:r>
    </w:p>
    <w:p>
      <w:pPr>
        <w:pStyle w:val="ListBullet"/>
        <w:keepLines w:val="1"/>
        <w:keepNext w:val="1"/>
        <w:widowControl w:val="1"/>
      </w:pPr>
      <w:r>
        <w:t>Gráfico tipo radar (spider) o barras comparando:</w:t>
      </w:r>
    </w:p>
    <w:p>
      <w:pPr>
        <w:pStyle w:val="ListBullet"/>
        <w:keepLines w:val="1"/>
        <w:keepNext w:val="1"/>
        <w:widowControl w:val="1"/>
      </w:pPr>
      <w:r>
        <w:t>IGM_GOV</w:t>
      </w:r>
    </w:p>
    <w:p>
      <w:pPr>
        <w:pStyle w:val="ListBullet"/>
        <w:keepLines w:val="1"/>
        <w:keepNext w:val="1"/>
        <w:widowControl w:val="1"/>
      </w:pPr>
      <w:r>
        <w:t>IGM_VUL</w:t>
      </w:r>
    </w:p>
    <w:p>
      <w:pPr>
        <w:pStyle w:val="ListBullet"/>
        <w:keepLines w:val="1"/>
        <w:keepNext w:val="1"/>
        <w:widowControl w:val="1"/>
      </w:pPr>
      <w:r>
        <w:t>IGM_PEN</w:t>
      </w:r>
    </w:p>
    <w:p>
      <w:pPr>
        <w:pStyle w:val="ListBullet"/>
        <w:keepLines w:val="1"/>
        <w:keepNext w:val="1"/>
        <w:widowControl w:val="1"/>
      </w:pPr>
      <w:r>
        <w:t>IGM_SIEM</w:t>
      </w:r>
    </w:p>
    <w:p>
      <w:pPr>
        <w:pStyle w:val="ListBullet"/>
        <w:keepLines w:val="1"/>
        <w:keepNext w:val="1"/>
        <w:widowControl w:val="1"/>
      </w:pPr>
      <w:r>
        <w:t>IGM_AWR</w:t>
      </w:r>
    </w:p>
    <w:p>
      <w:pPr>
        <w:pStyle w:val="ListBullet"/>
        <w:keepLines w:val="1"/>
        <w:keepNext w:val="1"/>
        <w:widowControl w:val="1"/>
      </w:pPr>
      <w:r>
        <w:br/>
        <w:t>IGM_MET</w:t>
        <w:br/>
      </w:r>
    </w:p>
    <w:p>
      <w:pPr>
        <w:pStyle w:val="ListBullet"/>
        <w:keepLines w:val="1"/>
        <w:keepNext w:val="1"/>
        <w:widowControl w:val="1"/>
      </w:pPr>
      <w:r>
        <w:br/>
        <w:t>Comentarios breves destacando:</w:t>
        <w:br/>
      </w:r>
    </w:p>
    <w:p>
      <w:pPr>
        <w:pStyle w:val="ListBullet"/>
        <w:keepLines w:val="1"/>
        <w:keepNext w:val="1"/>
        <w:widowControl w:val="1"/>
      </w:pPr>
      <w:r>
        <w:t>Dimensiones más fuertes.</w:t>
      </w:r>
    </w:p>
    <w:p>
      <w:pPr>
        <w:pStyle w:val="ListBullet"/>
        <w:keepLines w:val="1"/>
        <w:widowControl w:val="1"/>
      </w:pPr>
      <w:r>
        <w:t>Dimensiones más débiles.</w:t>
      </w:r>
    </w:p>
    <w:p>
      <w:r>
        <w:t>IGM_MET</w:t>
      </w:r>
    </w:p>
    <w:p>
      <w:r>
        <w:t>Comentarios breves destacando:</w:t>
      </w:r>
    </w:p>
    <w:p>
      <w:pPr>
        <w:pStyle w:val="Heading2"/>
        <w:keepNext/>
        <w:keepLines/>
      </w:pPr>
      <w:r>
        <w:rPr>
          <w:color w:val="0066CC"/>
        </w:rPr>
        <w:t>5. Gobierno y estrategia de vulnerabilidades (GOV)</w:t>
      </w:r>
    </w:p>
    <w:p>
      <w:r>
        <w:t>Contenido sugerido:</w:t>
      </w:r>
    </w:p>
    <w:p>
      <w:pPr>
        <w:pStyle w:val="ListBullet"/>
        <w:keepLines w:val="1"/>
        <w:keepNext w:val="1"/>
        <w:widowControl w:val="1"/>
      </w:pPr>
      <w:r>
        <w:t>Diapositiva con indicadores clave, por ejemplo:</w:t>
      </w:r>
    </w:p>
    <w:p>
      <w:pPr>
        <w:pStyle w:val="ListBullet"/>
        <w:keepLines w:val="1"/>
        <w:keepNext w:val="1"/>
        <w:widowControl w:val="1"/>
      </w:pPr>
      <w:r>
        <w:t>% de organizaciones con política formal de gestión de vulnerabilidades que menciona KEV.</w:t>
      </w:r>
    </w:p>
    <w:p>
      <w:pPr>
        <w:pStyle w:val="ListBullet"/>
        <w:keepLines w:val="1"/>
        <w:keepNext w:val="1"/>
        <w:widowControl w:val="1"/>
      </w:pPr>
      <w:r>
        <w:t>% con roles claramente definidos para la gestión de KEV.</w:t>
      </w:r>
    </w:p>
    <w:p>
      <w:pPr>
        <w:pStyle w:val="ListBullet"/>
        <w:keepLines w:val="1"/>
        <w:keepNext w:val="1"/>
        <w:widowControl w:val="1"/>
      </w:pPr>
      <w:r>
        <w:t>Frecuencia típica de revisión del catálogo KEV.</w:t>
      </w:r>
    </w:p>
    <w:p>
      <w:pPr>
        <w:pStyle w:val="ListBullet"/>
        <w:keepLines w:val="1"/>
        <w:keepNext w:val="1"/>
        <w:widowControl w:val="1"/>
      </w:pPr>
      <w:r>
        <w:t>Comentarios:</w:t>
      </w:r>
    </w:p>
    <w:p>
      <w:pPr>
        <w:pStyle w:val="ListBullet"/>
        <w:keepLines w:val="1"/>
        <w:keepNext w:val="1"/>
        <w:widowControl w:val="1"/>
      </w:pPr>
      <w:r>
        <w:t>Grado de integración de KEV en la gestión de riesgos.</w:t>
      </w:r>
    </w:p>
    <w:p>
      <w:pPr>
        <w:pStyle w:val="ListBullet"/>
        <w:keepLines w:val="1"/>
        <w:widowControl w:val="1"/>
      </w:pPr>
      <w:r>
        <w:t>Madurez percibida frente a marcos de referencia.</w:t>
      </w:r>
    </w:p>
    <w:p>
      <w:r>
        <w:t>Gráficos posibles:</w:t>
      </w:r>
    </w:p>
    <w:p>
      <w:pPr>
        <w:pStyle w:val="ListBullet"/>
        <w:keepLines w:val="1"/>
        <w:widowControl w:val="1"/>
      </w:pPr>
      <w:r>
        <w:t>Barras apiladas con distribución de respuestas a GOV-01, GOV-02, GOV-04.</w:t>
      </w:r>
    </w:p>
    <w:p>
      <w:pPr>
        <w:pStyle w:val="Heading2"/>
        <w:keepNext/>
        <w:keepLines/>
      </w:pPr>
      <w:r>
        <w:rPr>
          <w:color w:val="0066CC"/>
        </w:rPr>
        <w:t>6. Gestión operativa de vulnerabilidades y KEV (VUL)</w:t>
      </w:r>
    </w:p>
    <w:p>
      <w:r>
        <w:t>Contenido sugerido:</w:t>
      </w:r>
    </w:p>
    <w:p>
      <w:pPr>
        <w:pStyle w:val="ListBullet"/>
        <w:keepLines w:val="1"/>
        <w:keepNext w:val="1"/>
        <w:widowControl w:val="1"/>
      </w:pPr>
      <w:r>
        <w:t>Indicadores destacados:</w:t>
      </w:r>
    </w:p>
    <w:p>
      <w:pPr>
        <w:pStyle w:val="ListBullet"/>
        <w:keepLines w:val="1"/>
        <w:keepNext w:val="1"/>
        <w:widowControl w:val="1"/>
      </w:pPr>
      <w:r>
        <w:t>Nivel de inventario de activos y cobertura de escaneos.</w:t>
      </w:r>
    </w:p>
    <w:p>
      <w:pPr>
        <w:pStyle w:val="ListBullet"/>
        <w:keepLines w:val="1"/>
        <w:keepNext w:val="1"/>
        <w:widowControl w:val="1"/>
      </w:pPr>
      <w:r>
        <w:t>Existencia de procesos automáticos para correlacionar KEV con activos.</w:t>
      </w:r>
    </w:p>
    <w:p>
      <w:pPr>
        <w:pStyle w:val="ListBullet"/>
        <w:keepLines w:val="1"/>
        <w:keepNext w:val="1"/>
        <w:widowControl w:val="1"/>
      </w:pPr>
      <w:r>
        <w:t>Medición (o no) de tiempos de remediación.</w:t>
      </w:r>
    </w:p>
    <w:p>
      <w:pPr>
        <w:pStyle w:val="ListBullet"/>
        <w:keepLines w:val="1"/>
        <w:keepNext w:val="1"/>
        <w:widowControl w:val="1"/>
      </w:pPr>
      <w:r>
        <w:t>Trato específico a dispositivos perimetrales y sistemas legacy.</w:t>
      </w:r>
    </w:p>
    <w:p>
      <w:pPr>
        <w:pStyle w:val="ListBullet"/>
        <w:keepLines w:val="1"/>
        <w:keepNext w:val="1"/>
        <w:widowControl w:val="1"/>
      </w:pPr>
      <w:r>
        <w:t>Mensajes clave:</w:t>
      </w:r>
    </w:p>
    <w:p>
      <w:pPr>
        <w:pStyle w:val="ListBullet"/>
        <w:keepLines w:val="1"/>
        <w:keepNext w:val="1"/>
        <w:widowControl w:val="1"/>
      </w:pPr>
      <w:r>
        <w:t>Grado de control sobre la «superficie de ataque conocida».</w:t>
      </w:r>
    </w:p>
    <w:p>
      <w:pPr>
        <w:pStyle w:val="ListBullet"/>
        <w:keepLines w:val="1"/>
        <w:widowControl w:val="1"/>
      </w:pPr>
      <w:r>
        <w:t>Riesgos asociados a KEV abiertas y sistemas antiguos.</w:t>
      </w:r>
    </w:p>
    <w:p>
      <w:r>
        <w:t>Gráficos posibles:</w:t>
      </w:r>
    </w:p>
    <w:p>
      <w:pPr>
        <w:pStyle w:val="ListBullet"/>
        <w:keepLines w:val="1"/>
        <w:keepNext w:val="1"/>
        <w:widowControl w:val="1"/>
      </w:pPr>
      <w:r>
        <w:t>Gráfico de barras mostrando la distribución de niveles de madurez en VUL.</w:t>
      </w:r>
    </w:p>
    <w:p>
      <w:pPr>
        <w:pStyle w:val="ListBullet"/>
        <w:keepLines w:val="1"/>
        <w:widowControl w:val="1"/>
      </w:pPr>
      <w:r>
        <w:t>Un breve caso ilustrativo (sin datos sensibles) de «situación típica» identificada.</w:t>
      </w:r>
    </w:p>
    <w:p>
      <w:pPr>
        <w:pStyle w:val="Heading2"/>
        <w:keepNext/>
        <w:keepLines/>
      </w:pPr>
      <w:r>
        <w:rPr>
          <w:color w:val="0066CC"/>
        </w:rPr>
        <w:t>7. Pruebas de penetración y ejercicios (PEN)</w:t>
      </w:r>
    </w:p>
    <w:p>
      <w:r>
        <w:t>Contenido sugerido:</w:t>
      </w:r>
    </w:p>
    <w:p>
      <w:pPr>
        <w:pStyle w:val="ListBullet"/>
        <w:keepLines w:val="1"/>
        <w:keepNext w:val="1"/>
        <w:widowControl w:val="1"/>
      </w:pPr>
      <w:r>
        <w:t>Frecuencia de pentests.</w:t>
      </w:r>
    </w:p>
    <w:p>
      <w:pPr>
        <w:pStyle w:val="ListBullet"/>
        <w:keepLines w:val="1"/>
        <w:keepNext w:val="1"/>
        <w:widowControl w:val="1"/>
      </w:pPr>
      <w:r>
        <w:t>Cobertura de KEV en el alcance de pruebas.</w:t>
      </w:r>
    </w:p>
    <w:p>
      <w:pPr>
        <w:pStyle w:val="ListBullet"/>
        <w:keepLines w:val="1"/>
        <w:keepNext w:val="1"/>
        <w:widowControl w:val="1"/>
      </w:pPr>
      <w:r>
        <w:t>Uso de ejercicios de Red/Purple Team.</w:t>
      </w:r>
    </w:p>
    <w:p>
      <w:pPr>
        <w:pStyle w:val="ListBullet"/>
        <w:keepLines w:val="1"/>
        <w:widowControl w:val="1"/>
      </w:pPr>
      <w:r>
        <w:t>Proceso de gestión de hallazgos.</w:t>
      </w:r>
    </w:p>
    <w:p>
      <w:r>
        <w:t>Gráficos posibles:</w:t>
      </w:r>
    </w:p>
    <w:p>
      <w:pPr>
        <w:pStyle w:val="ListBullet"/>
        <w:keepLines w:val="1"/>
        <w:widowControl w:val="1"/>
      </w:pPr>
      <w:r>
        <w:t>Barras de frecuencia (por ejemplo, % que realiza pentests al menos anuales).</w:t>
      </w:r>
    </w:p>
    <w:p>
      <w:r>
        <w:t>Comentario narrativo:</w:t>
      </w:r>
    </w:p>
    <w:p>
      <w:pPr>
        <w:pStyle w:val="ListBullet"/>
        <w:keepLines w:val="1"/>
        <w:widowControl w:val="1"/>
      </w:pPr>
      <w:r>
        <w:t>Riesgo de «pentesting cosmético» vs. pruebas alineadas con amenazas reales.</w:t>
      </w:r>
    </w:p>
    <w:p>
      <w:pPr>
        <w:pStyle w:val="Heading2"/>
        <w:keepNext/>
        <w:keepLines/>
      </w:pPr>
      <w:r>
        <w:rPr>
          <w:color w:val="0066CC"/>
        </w:rPr>
        <w:t>8. Monitorización, SIEM y detección (SIEM)</w:t>
      </w:r>
    </w:p>
    <w:p>
      <w:r>
        <w:t>Contenido sugerido:</w:t>
      </w:r>
    </w:p>
    <w:p>
      <w:pPr>
        <w:pStyle w:val="ListBullet"/>
        <w:keepLines w:val="1"/>
        <w:keepNext w:val="1"/>
        <w:widowControl w:val="1"/>
      </w:pPr>
      <w:r>
        <w:t>Situación de SIEM/SOC (24x7, parcial, inexistente).</w:t>
      </w:r>
    </w:p>
    <w:p>
      <w:pPr>
        <w:pStyle w:val="ListBullet"/>
        <w:keepLines w:val="1"/>
        <w:keepNext w:val="1"/>
        <w:widowControl w:val="1"/>
      </w:pPr>
      <w:r>
        <w:t>Presencia de casos de uso específicos para explotación de vulnerabilidades.</w:t>
      </w:r>
    </w:p>
    <w:p>
      <w:pPr>
        <w:pStyle w:val="ListBullet"/>
        <w:keepLines w:val="1"/>
        <w:keepNext w:val="1"/>
        <w:widowControl w:val="1"/>
      </w:pPr>
      <w:r>
        <w:t>Integración de inteligencia de amenazas.</w:t>
      </w:r>
    </w:p>
    <w:p>
      <w:pPr>
        <w:pStyle w:val="ListBullet"/>
        <w:keepLines w:val="1"/>
        <w:widowControl w:val="1"/>
      </w:pPr>
      <w:r>
        <w:t>Capacidad avanzada de detección basada en comportamiento.</w:t>
      </w:r>
    </w:p>
    <w:p>
      <w:r>
        <w:t>Gráficos posibles:</w:t>
      </w:r>
    </w:p>
    <w:p>
      <w:pPr>
        <w:pStyle w:val="ListBullet"/>
        <w:keepLines w:val="1"/>
        <w:keepNext w:val="1"/>
        <w:widowControl w:val="1"/>
      </w:pPr>
      <w:r>
        <w:t>Gráfico de barras o tarta mostrando la distribución de situaciones SIEM-01.</w:t>
      </w:r>
    </w:p>
    <w:p>
      <w:pPr>
        <w:pStyle w:val="ListBullet"/>
        <w:keepLines w:val="1"/>
        <w:widowControl w:val="1"/>
      </w:pPr>
      <w:r>
        <w:t>Indicadores de adopción de detección avanzada.</w:t>
      </w:r>
    </w:p>
    <w:p>
      <w:r>
        <w:t>Mensajes clave:</w:t>
      </w:r>
    </w:p>
    <w:p>
      <w:pPr>
        <w:pStyle w:val="ListBullet"/>
        <w:keepLines w:val="1"/>
        <w:widowControl w:val="1"/>
      </w:pPr>
      <w:r>
        <w:t>Capacidad real de ver y reaccionar cuando una KEV es explotada.</w:t>
      </w:r>
    </w:p>
    <w:p>
      <w:pPr>
        <w:pStyle w:val="Heading2"/>
        <w:keepNext/>
        <w:keepLines/>
      </w:pPr>
      <w:r>
        <w:rPr>
          <w:color w:val="0066CC"/>
        </w:rPr>
        <w:t>9. Capacitación, cultura y métricas (AWR, MET)</w:t>
      </w:r>
    </w:p>
    <w:p>
      <w:r>
        <w:t>Contenido sugerido:</w:t>
      </w:r>
    </w:p>
    <w:p>
      <w:pPr>
        <w:pStyle w:val="ListBullet"/>
        <w:keepLines w:val="1"/>
        <w:keepNext w:val="1"/>
        <w:widowControl w:val="1"/>
      </w:pPr>
      <w:r>
        <w:t>Existencia y cobertura de programas de formación.</w:t>
      </w:r>
    </w:p>
    <w:p>
      <w:pPr>
        <w:pStyle w:val="ListBullet"/>
        <w:keepLines w:val="1"/>
        <w:keepNext w:val="1"/>
        <w:widowControl w:val="1"/>
      </w:pPr>
      <w:r>
        <w:t>Formación específica para roles técnicos.</w:t>
      </w:r>
    </w:p>
    <w:p>
      <w:pPr>
        <w:pStyle w:val="ListBullet"/>
        <w:keepLines w:val="1"/>
        <w:keepNext w:val="1"/>
        <w:widowControl w:val="1"/>
      </w:pPr>
      <w:r>
        <w:t>Métricas de capacitación (test, simulaciones, etc.).</w:t>
      </w:r>
    </w:p>
    <w:p>
      <w:pPr>
        <w:pStyle w:val="ListBullet"/>
        <w:keepLines w:val="1"/>
        <w:widowControl w:val="1"/>
      </w:pPr>
      <w:r>
        <w:t>Uso de indicadores relacionados con KEV y vulnerabilidades.</w:t>
      </w:r>
    </w:p>
    <w:p>
      <w:r>
        <w:t>Gráficos posibles:</w:t>
      </w:r>
    </w:p>
    <w:p>
      <w:pPr>
        <w:pStyle w:val="ListBullet"/>
        <w:keepLines w:val="1"/>
        <w:keepNext w:val="1"/>
        <w:widowControl w:val="1"/>
      </w:pPr>
      <w:r>
        <w:t>Barras de % de organizaciones con programa anual estructurado.</w:t>
      </w:r>
    </w:p>
    <w:p>
      <w:pPr>
        <w:pStyle w:val="ListBullet"/>
        <w:keepLines w:val="1"/>
        <w:widowControl w:val="1"/>
      </w:pPr>
      <w:r>
        <w:t>Radar específico para cultura de reporte y formación.</w:t>
      </w:r>
    </w:p>
    <w:p>
      <w:r>
        <w:t>Mensaje clave:</w:t>
      </w:r>
    </w:p>
    <w:p>
      <w:pPr>
        <w:pStyle w:val="ListBullet"/>
        <w:keepLines w:val="1"/>
        <w:widowControl w:val="1"/>
      </w:pPr>
      <w:r>
        <w:t>El factor humano como amortiguador (o amplificador) del riesgo técnico.</w:t>
      </w:r>
    </w:p>
    <w:p>
      <w:pPr>
        <w:pStyle w:val="Heading2"/>
        <w:keepNext/>
        <w:keepLines/>
      </w:pPr>
      <w:r>
        <w:rPr>
          <w:color w:val="0066CC"/>
        </w:rPr>
        <w:t>10. ROI y priorización de iniciativas</w:t>
      </w:r>
    </w:p>
    <w:p>
      <w:r>
        <w:t>Contenido sugerido:</w:t>
      </w:r>
    </w:p>
    <w:p>
      <w:pPr>
        <w:pStyle w:val="ListBullet"/>
        <w:keepLines w:val="1"/>
        <w:keepNext w:val="1"/>
        <w:widowControl w:val="1"/>
      </w:pPr>
      <w:r>
        <w:t>Breve explicación del enfoque de ROI utilizado.</w:t>
      </w:r>
    </w:p>
    <w:p>
      <w:pPr>
        <w:pStyle w:val="ListBullet"/>
        <w:keepLines w:val="1"/>
        <w:keepNext w:val="1"/>
        <w:widowControl w:val="1"/>
      </w:pPr>
      <w:r>
        <w:t>3–5 iniciativas clave identificadas (por ejemplo, «Automatizar cruce KEV–inventario», «Reforzar SOC 24x7», «Programa técnico avanzado»).</w:t>
      </w:r>
    </w:p>
    <w:p>
      <w:pPr>
        <w:pStyle w:val="ListBullet"/>
        <w:keepLines w:val="1"/>
        <w:keepNext w:val="1"/>
        <w:widowControl w:val="1"/>
      </w:pPr>
      <w:r>
        <w:t>Para cada iniciativa:</w:t>
      </w:r>
    </w:p>
    <w:p>
      <w:pPr>
        <w:pStyle w:val="ListBullet"/>
        <w:keepLines w:val="1"/>
        <w:keepNext w:val="1"/>
        <w:widowControl w:val="1"/>
      </w:pPr>
      <w:r>
        <w:t>Beneficios esperados (cualitativos y, si es posible, cuantitativos).</w:t>
      </w:r>
    </w:p>
    <w:p>
      <w:pPr>
        <w:pStyle w:val="ListBullet"/>
        <w:keepLines w:val="1"/>
        <w:keepNext w:val="1"/>
        <w:widowControl w:val="1"/>
      </w:pPr>
      <w:r>
        <w:t>Estimación de coste.</w:t>
      </w:r>
    </w:p>
    <w:p>
      <w:pPr>
        <w:pStyle w:val="ListBullet"/>
        <w:keepLines w:val="1"/>
        <w:widowControl w:val="1"/>
      </w:pPr>
      <w:r>
        <w:t>Indicadores de retorno (por ejemplo, reducción de pérdida esperada).</w:t>
      </w:r>
    </w:p>
    <w:p>
      <w:r>
        <w:t>Gráficos posibles:</w:t>
      </w:r>
    </w:p>
    <w:p>
      <w:pPr>
        <w:pStyle w:val="ListBullet"/>
        <w:keepLines w:val="1"/>
        <w:keepNext w:val="1"/>
        <w:widowControl w:val="1"/>
      </w:pPr>
      <w:r>
        <w:t>Tabla resumen con iniciativas ordenadas por relación impacto/coste.</w:t>
      </w:r>
    </w:p>
    <w:p>
      <w:pPr>
        <w:pStyle w:val="ListBullet"/>
        <w:keepLines w:val="1"/>
        <w:widowControl w:val="1"/>
      </w:pPr>
      <w:r>
        <w:t>Gráfico de burbujas (impacto vs. esfuerzo, con el tamaño representando el ROI estimado).</w:t>
      </w:r>
    </w:p>
    <w:p>
      <w:pPr>
        <w:pStyle w:val="Heading2"/>
        <w:keepNext/>
        <w:keepLines/>
      </w:pPr>
      <w:r>
        <w:rPr>
          <w:color w:val="0066CC"/>
        </w:rPr>
        <w:t>11. Hoja de ruta (roadmap) de mejora</w:t>
      </w:r>
    </w:p>
    <w:p>
      <w:r>
        <w:t>Contenido sugerido:</w:t>
      </w:r>
    </w:p>
    <w:p>
      <w:pPr>
        <w:pStyle w:val="ListBullet"/>
        <w:keepLines w:val="1"/>
        <w:keepNext w:val="1"/>
        <w:widowControl w:val="1"/>
      </w:pPr>
      <w:r>
        <w:t>Propuesta de roadmap en 3 horizontes:</w:t>
      </w:r>
    </w:p>
    <w:p>
      <w:pPr>
        <w:pStyle w:val="ListBullet"/>
        <w:keepLines w:val="1"/>
        <w:keepNext w:val="1"/>
        <w:widowControl w:val="1"/>
      </w:pPr>
      <w:r>
        <w:t>Corto plazo (0–12 meses): quick wins y acciones urgentes (por ejemplo, SLAs KEV, mejoras básicas de inventario).</w:t>
      </w:r>
    </w:p>
    <w:p>
      <w:pPr>
        <w:pStyle w:val="ListBullet"/>
        <w:keepLines w:val="1"/>
        <w:keepNext w:val="1"/>
        <w:widowControl w:val="1"/>
      </w:pPr>
      <w:r>
        <w:t>Medio plazo (1–2 años): consolidación de procesos, ampliación de SIEM, mejora de pentesting.</w:t>
      </w:r>
    </w:p>
    <w:p>
      <w:pPr>
        <w:pStyle w:val="ListBullet"/>
        <w:keepLines w:val="1"/>
        <w:widowControl w:val="1"/>
      </w:pPr>
      <w:r>
        <w:t>Largo plazo (&gt;2 años): optimización, automatización avanzada, integración plena con gestión de riesgos y negocio.</w:t>
      </w:r>
    </w:p>
    <w:p>
      <w:r>
        <w:t>Gráfico posible:</w:t>
      </w:r>
    </w:p>
    <w:p>
      <w:pPr>
        <w:pStyle w:val="ListBullet"/>
        <w:keepLines w:val="1"/>
        <w:widowControl w:val="1"/>
      </w:pPr>
      <w:r>
        <w:t>Diagrama de Gantt de alto nivel o roadmap por fases.</w:t>
      </w:r>
    </w:p>
    <w:p>
      <w:pPr>
        <w:pStyle w:val="Heading2"/>
        <w:keepNext/>
        <w:keepLines/>
      </w:pPr>
      <w:r>
        <w:rPr>
          <w:color w:val="0066CC"/>
        </w:rPr>
        <w:t>12. Conclusiones y próximos pasos</w:t>
      </w:r>
    </w:p>
    <w:p>
      <w:r>
        <w:t>Contenido sugerido:</w:t>
      </w:r>
    </w:p>
    <w:p>
      <w:pPr>
        <w:pStyle w:val="ListBullet"/>
        <w:keepLines w:val="1"/>
        <w:keepNext w:val="1"/>
        <w:widowControl w:val="1"/>
      </w:pPr>
      <w:r>
        <w:t>3–5 conclusiones clave.</w:t>
      </w:r>
    </w:p>
    <w:p>
      <w:pPr>
        <w:pStyle w:val="ListBullet"/>
        <w:keepLines w:val="1"/>
        <w:keepNext w:val="1"/>
        <w:widowControl w:val="1"/>
      </w:pPr>
      <w:r>
        <w:t>Recomendaciones prioritarias.</w:t>
      </w:r>
    </w:p>
    <w:p>
      <w:pPr>
        <w:pStyle w:val="ListBullet"/>
        <w:keepLines w:val="1"/>
        <w:keepNext w:val="1"/>
        <w:widowControl w:val="1"/>
      </w:pPr>
      <w:r>
        <w:t>Propuesta de próximos pasos concretos:</w:t>
      </w:r>
    </w:p>
    <w:p>
      <w:pPr>
        <w:pStyle w:val="ListBullet"/>
        <w:keepLines w:val="1"/>
        <w:keepNext w:val="1"/>
        <w:widowControl w:val="1"/>
      </w:pPr>
      <w:r>
        <w:t>Validación de resultados con equipos clave.</w:t>
      </w:r>
    </w:p>
    <w:p>
      <w:pPr>
        <w:pStyle w:val="ListBullet"/>
        <w:keepLines w:val="1"/>
        <w:keepNext w:val="1"/>
        <w:widowControl w:val="1"/>
      </w:pPr>
      <w:r>
        <w:t>Definición formal de un plan de acción.</w:t>
      </w:r>
    </w:p>
    <w:p>
      <w:pPr>
        <w:pStyle w:val="ListBullet"/>
        <w:keepLines w:val="1"/>
        <w:widowControl w:val="1"/>
      </w:pPr>
      <w:r>
        <w:t>Repetición de la encuesta en X meses para medir evolución.</w:t>
      </w:r>
    </w:p>
    <w:p>
      <w:r>
        <w:t>Cierre sugerido:</w:t>
      </w:r>
    </w:p>
    <w:p>
      <w:pPr>
        <w:pStyle w:val="ListBullet"/>
        <w:keepLines w:val="1"/>
        <w:widowControl w:val="1"/>
      </w:pPr>
      <w:r>
        <w:t>Mensaje positivo y realista: reconocimiento de avances y de retos, invitación a ver la ciberseguridad como una capacidad estratégica en construcción continua.</w:t>
      </w:r>
    </w:p>
    <w:p>
      <w:r>
        <w:t>Con esta plantilla, la presentación ejecutiva deja de ser un desfile de tablas ininteligibles y se convierte en una historia clara: dónde estamos, qué nos preocupa, qué podemos hacer y por qué merece la pena hacerlo ahora.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