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MAPEO NORMATIVO GQM+PRAGMATIC</w:t>
      </w:r>
    </w:p>
    <w:p>
      <w:pPr>
        <w:pStyle w:val="Heading2"/>
        <w:keepNext/>
        <w:keepLines/>
      </w:pPr>
      <w:r>
        <w:rPr>
          <w:color w:val="0066CC"/>
        </w:rPr>
        <w:t>Trazabilidad de Métricas → Requisitos Regulatorios</w:t>
      </w:r>
    </w:p>
    <w:p>
      <w:pPr>
        <w:pStyle w:val="Heading3"/>
        <w:keepNext/>
        <w:keepLines/>
      </w:pPr>
      <w:r>
        <w:t>RGPD · AI Act · NIS2 · ENS · LIINE4DU · ISO/IEC · NIST</w:t>
      </w:r>
    </w:p>
    <w:p>
      <w:pPr>
        <w:pStyle w:val="Heading4"/>
        <w:keepNext/>
        <w:keepLines/>
      </w:pPr>
      <w:r>
        <w:t>Kit GQM + PRAGMATIC · España 2025–2026 · Versión 1.0</w:t>
      </w:r>
    </w:p>
    <w:p>
      <w:r>
        <w:rPr>
          <w:i/>
        </w:rPr>
        <w:t>"Una métrica sin ancla normativa es una opinión. Una norma sin métrica asociada es una promesa. La combinación de ambas es la única forma de demostrar cumplimiento efectivo ante un regulador que cada vez pregunta más por evidencias y menos por documentos."</w:t>
      </w:r>
    </w:p>
    <w:p>
      <w:pPr>
        <w:pStyle w:val="Heading2"/>
        <w:keepNext/>
        <w:keepLines/>
      </w:pPr>
      <w:r>
        <w:rPr>
          <w:color w:val="0066CC"/>
        </w:rPr>
        <w:t>INSTRUCCIONES DE USO</w:t>
      </w:r>
    </w:p>
    <w:p>
      <w:r>
        <w:t>Esta tabla proporciona la trazabilidad completa entre:</w:t>
      </w:r>
      <w:r/>
      <w:r>
        <w:br/>
        <w:t xml:space="preserve">- Cada </w:t>
      </w:r>
      <w:r>
        <w:rPr>
          <w:b/>
        </w:rPr>
        <w:t>métrica GQM</w:t>
      </w:r>
      <w:r>
        <w:t xml:space="preserve"> del catálogo (columna 1)</w:t>
      </w:r>
      <w:r/>
      <w:r>
        <w:br/>
        <w:t xml:space="preserve">- El </w:t>
      </w:r>
      <w:r>
        <w:rPr>
          <w:b/>
        </w:rPr>
        <w:t>indicador LINDDUN/LIINE4DU</w:t>
      </w:r>
      <w:r>
        <w:t xml:space="preserve"> al que pertenece (columna 2)</w:t>
      </w:r>
      <w:r/>
      <w:r>
        <w:br/>
        <w:t xml:space="preserve">- El </w:t>
      </w:r>
      <w:r>
        <w:rPr>
          <w:b/>
        </w:rPr>
        <w:t>objetivo GQM</w:t>
      </w:r>
      <w:r>
        <w:t xml:space="preserve"> del que deriva (columna 3)</w:t>
      </w:r>
      <w:r/>
      <w:r>
        <w:br/>
        <w:t xml:space="preserve">- La </w:t>
      </w:r>
      <w:r>
        <w:rPr>
          <w:b/>
        </w:rPr>
        <w:t>normativa primaria</w:t>
      </w:r>
      <w:r>
        <w:t xml:space="preserve"> que obliga a medir este aspecto (columnas 4–8)</w:t>
      </w:r>
      <w:r/>
      <w:r>
        <w:br/>
        <w:t xml:space="preserve">- La </w:t>
      </w:r>
      <w:r>
        <w:rPr>
          <w:b/>
        </w:rPr>
        <w:t>norma técnica de referencia</w:t>
      </w:r>
      <w:r>
        <w:t xml:space="preserve"> para la implementación (columna 9)</w:t>
      </w:r>
      <w:r/>
      <w:r>
        <w:br/>
        <w:t xml:space="preserve">- El </w:t>
      </w:r>
      <w:r>
        <w:rPr>
          <w:b/>
        </w:rPr>
        <w:t>nivel de riesgo</w:t>
      </w:r>
      <w:r>
        <w:t xml:space="preserve"> si la métrica supera su umbral negativo (columna 10)</w:t>
      </w:r>
    </w:p>
    <w:p>
      <w:r>
        <w:rPr>
          <w:b/>
        </w:rPr>
        <w:t>Leyenda de riesgo regulatorio:</w:t>
      </w:r>
      <w:r/>
      <w:r>
        <w:br/>
        <w:t xml:space="preserve">- 🔴 </w:t>
      </w:r>
      <w:r>
        <w:rPr>
          <w:b/>
        </w:rPr>
        <w:t>Crítico</w:t>
      </w:r>
      <w:r>
        <w:t>: Incumplimiento con sanción directa o sanción máxima aplicable</w:t>
      </w:r>
      <w:r/>
      <w:r>
        <w:br/>
        <w:t xml:space="preserve">- 🟠 </w:t>
      </w:r>
      <w:r>
        <w:rPr>
          <w:b/>
        </w:rPr>
        <w:t>Alto</w:t>
      </w:r>
      <w:r>
        <w:t>: Incumplimiento con alta probabilidad de sanción o actuación de la AEPD</w:t>
      </w:r>
      <w:r/>
      <w:r>
        <w:br/>
        <w:t xml:space="preserve">- 🟡 </w:t>
      </w:r>
      <w:r>
        <w:rPr>
          <w:b/>
        </w:rPr>
        <w:t>Medio</w:t>
      </w:r>
      <w:r>
        <w:t>: Incumplimiento que incrementa la exposición pero sin consecuencia inmediata directa</w:t>
      </w:r>
      <w:r/>
      <w:r>
        <w:br/>
        <w:t xml:space="preserve">- 🟢 </w:t>
      </w:r>
      <w:r>
        <w:rPr>
          <w:b/>
        </w:rPr>
        <w:t>Bajo</w:t>
      </w:r>
      <w:r>
        <w:t>: Métrica de buenas prácticas sin consecuencia sancionatoria directa</w:t>
      </w:r>
    </w:p>
    <w:p>
      <w:pPr>
        <w:pStyle w:val="Heading2"/>
        <w:keepNext/>
        <w:keepLines/>
      </w:pPr>
      <w:r>
        <w:rPr>
          <w:color w:val="0066CC"/>
        </w:rPr>
        <w:t>TABLA MAESTRA DE TRAZABILIDAD NORMATIVA</w:t>
      </w:r>
    </w:p>
    <w:tbl>
      <w:tblPr>
        <w:tblStyle w:val="LightGrid-Accent1"/>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rPr>
          <w:cantSplit w:val="1"/>
        </w:trPr>
        <w:tc>
          <w:tcPr>
            <w:tcW w:type="dxa" w:w="936"/>
            <w:shd w:fill="0033CC"/>
          </w:tcPr>
          <w:p>
            <w:pPr>
              <w:keepLines w:val="1"/>
              <w:keepNext w:val="1"/>
            </w:pPr>
            <w:r>
              <w:rPr>
                <w:b/>
                <w:color w:val="FFFFFF"/>
              </w:rPr>
              <w:t>Métrica</w:t>
            </w:r>
          </w:p>
        </w:tc>
        <w:tc>
          <w:tcPr>
            <w:tcW w:type="dxa" w:w="936"/>
            <w:shd w:fill="0033CC"/>
          </w:tcPr>
          <w:p>
            <w:pPr>
              <w:keepLines w:val="1"/>
              <w:keepNext w:val="1"/>
            </w:pPr>
            <w:r>
              <w:rPr>
                <w:b/>
                <w:color w:val="FFFFFF"/>
              </w:rPr>
              <w:t>Indicador</w:t>
            </w:r>
          </w:p>
        </w:tc>
        <w:tc>
          <w:tcPr>
            <w:tcW w:type="dxa" w:w="936"/>
            <w:shd w:fill="0033CC"/>
          </w:tcPr>
          <w:p>
            <w:pPr>
              <w:keepLines w:val="1"/>
              <w:keepNext w:val="1"/>
            </w:pPr>
            <w:r>
              <w:rPr>
                <w:b/>
                <w:color w:val="FFFFFF"/>
              </w:rPr>
              <w:t>Objetivo GQM</w:t>
            </w:r>
          </w:p>
        </w:tc>
        <w:tc>
          <w:tcPr>
            <w:tcW w:type="dxa" w:w="936"/>
            <w:shd w:fill="0033CC"/>
          </w:tcPr>
          <w:p>
            <w:pPr>
              <w:keepLines w:val="1"/>
              <w:keepNext w:val="1"/>
            </w:pPr>
            <w:r>
              <w:rPr>
                <w:b/>
                <w:color w:val="FFFFFF"/>
              </w:rPr>
              <w:t>RGPD</w:t>
            </w:r>
          </w:p>
        </w:tc>
        <w:tc>
          <w:tcPr>
            <w:tcW w:type="dxa" w:w="936"/>
            <w:shd w:fill="0033CC"/>
          </w:tcPr>
          <w:p>
            <w:pPr>
              <w:keepLines w:val="1"/>
              <w:keepNext w:val="1"/>
            </w:pPr>
            <w:r>
              <w:rPr>
                <w:b/>
                <w:color w:val="FFFFFF"/>
              </w:rPr>
              <w:t>AI Act</w:t>
            </w:r>
          </w:p>
        </w:tc>
        <w:tc>
          <w:tcPr>
            <w:tcW w:type="dxa" w:w="936"/>
            <w:shd w:fill="0033CC"/>
          </w:tcPr>
          <w:p>
            <w:pPr>
              <w:keepLines w:val="1"/>
              <w:keepNext w:val="1"/>
            </w:pPr>
            <w:r>
              <w:rPr>
                <w:b/>
                <w:color w:val="FFFFFF"/>
              </w:rPr>
              <w:t>NIS2</w:t>
            </w:r>
          </w:p>
        </w:tc>
        <w:tc>
          <w:tcPr>
            <w:tcW w:type="dxa" w:w="936"/>
            <w:shd w:fill="0033CC"/>
          </w:tcPr>
          <w:p>
            <w:pPr>
              <w:keepLines w:val="1"/>
              <w:keepNext w:val="1"/>
            </w:pPr>
            <w:r>
              <w:rPr>
                <w:b/>
                <w:color w:val="FFFFFF"/>
              </w:rPr>
              <w:t>ENS</w:t>
            </w:r>
          </w:p>
        </w:tc>
        <w:tc>
          <w:tcPr>
            <w:tcW w:type="dxa" w:w="936"/>
            <w:shd w:fill="0033CC"/>
          </w:tcPr>
          <w:p>
            <w:pPr>
              <w:keepLines w:val="1"/>
              <w:keepNext w:val="1"/>
            </w:pPr>
            <w:r>
              <w:rPr>
                <w:b/>
                <w:color w:val="FFFFFF"/>
              </w:rPr>
              <w:t>LIINE4DU</w:t>
            </w:r>
          </w:p>
        </w:tc>
        <w:tc>
          <w:tcPr>
            <w:tcW w:type="dxa" w:w="936"/>
            <w:shd w:fill="0033CC"/>
          </w:tcPr>
          <w:p>
            <w:pPr>
              <w:keepLines w:val="1"/>
              <w:keepNext w:val="1"/>
            </w:pPr>
            <w:r>
              <w:rPr>
                <w:b/>
                <w:color w:val="FFFFFF"/>
              </w:rPr>
              <w:t>ISO/NIST</w:t>
            </w:r>
          </w:p>
        </w:tc>
        <w:tc>
          <w:tcPr>
            <w:tcW w:type="dxa" w:w="936"/>
            <w:shd w:fill="0033CC"/>
          </w:tcPr>
          <w:p>
            <w:pPr>
              <w:keepLines w:val="1"/>
              <w:keepNext w:val="1"/>
            </w:pPr>
            <w:r>
              <w:rPr>
                <w:b/>
                <w:color w:val="FFFFFF"/>
              </w:rPr>
              <w:t>Riesgo</w:t>
            </w:r>
          </w:p>
        </w:tc>
      </w:tr>
      <w:tr>
        <w:trPr>
          <w:cantSplit w:val="1"/>
        </w:trPr>
        <w:tc>
          <w:tcPr>
            <w:tcW w:type="dxa" w:w="936"/>
          </w:tcPr>
          <w:p>
            <w:pPr>
              <w:keepLines w:val="1"/>
              <w:keepNext w:val="1"/>
            </w:pPr>
            <w:r>
              <w:t>L-M1 % DFDs actualizados</w:t>
            </w:r>
          </w:p>
        </w:tc>
        <w:tc>
          <w:tcPr>
            <w:tcW w:type="dxa" w:w="936"/>
          </w:tcPr>
          <w:p>
            <w:pPr>
              <w:keepLines w:val="1"/>
              <w:keepNext w:val="1"/>
            </w:pPr>
            <w:r>
              <w:t>L – Linking</w:t>
            </w:r>
          </w:p>
        </w:tc>
        <w:tc>
          <w:tcPr>
            <w:tcW w:type="dxa" w:w="936"/>
          </w:tcPr>
          <w:p>
            <w:pPr>
              <w:keepLines w:val="1"/>
              <w:keepNext w:val="1"/>
            </w:pPr>
            <w:r>
              <w:t>OBJ-L: Cartografiar flujos de datos con riesgo de vinculación</w:t>
            </w:r>
          </w:p>
        </w:tc>
        <w:tc>
          <w:tcPr>
            <w:tcW w:type="dxa" w:w="936"/>
          </w:tcPr>
          <w:p>
            <w:pPr>
              <w:keepLines w:val="1"/>
              <w:keepNext w:val="1"/>
            </w:pPr>
            <w:r>
              <w:t>Art. 30 (Registro de actividades); Art. 25 (PbD)</w:t>
            </w:r>
          </w:p>
        </w:tc>
        <w:tc>
          <w:tcPr>
            <w:tcW w:type="dxa" w:w="936"/>
          </w:tcPr>
          <w:p>
            <w:pPr>
              <w:keepLines w:val="1"/>
              <w:keepNext w:val="1"/>
            </w:pPr>
            <w:r>
              <w:t>Annex IV (documentación técnica para IA de alto riesgo)</w:t>
            </w:r>
          </w:p>
        </w:tc>
        <w:tc>
          <w:tcPr>
            <w:tcW w:type="dxa" w:w="936"/>
          </w:tcPr>
          <w:p>
            <w:pPr>
              <w:keepLines w:val="1"/>
              <w:keepNext w:val="1"/>
            </w:pPr>
            <w:r>
              <w:t>Art. 21.2 NIS2 (gestión activos)</w:t>
            </w:r>
          </w:p>
        </w:tc>
        <w:tc>
          <w:tcPr>
            <w:tcW w:type="dxa" w:w="936"/>
          </w:tcPr>
          <w:p>
            <w:pPr>
              <w:keepLines w:val="1"/>
              <w:keepNext w:val="1"/>
            </w:pPr>
            <w:r>
              <w:t>ENS op.pl.1 (Análisis de riesgos)</w:t>
            </w:r>
          </w:p>
        </w:tc>
        <w:tc>
          <w:tcPr>
            <w:tcW w:type="dxa" w:w="936"/>
          </w:tcPr>
          <w:p>
            <w:pPr>
              <w:keepLines w:val="1"/>
              <w:keepNext w:val="1"/>
            </w:pPr>
            <w:r>
              <w:t>L – Linking</w:t>
            </w:r>
          </w:p>
        </w:tc>
        <w:tc>
          <w:tcPr>
            <w:tcW w:type="dxa" w:w="936"/>
          </w:tcPr>
          <w:p>
            <w:pPr>
              <w:keepLines w:val="1"/>
              <w:keepNext w:val="1"/>
            </w:pPr>
            <w:r>
              <w:t>ISO 27701 §7.2.1</w:t>
            </w:r>
          </w:p>
        </w:tc>
        <w:tc>
          <w:tcPr>
            <w:tcW w:type="dxa" w:w="936"/>
          </w:tcPr>
          <w:p>
            <w:pPr>
              <w:keepLines w:val="1"/>
              <w:keepNext w:val="1"/>
            </w:pPr>
            <w:r>
              <w:t>🟠 Alto</w:t>
            </w:r>
          </w:p>
        </w:tc>
      </w:tr>
      <w:tr>
        <w:trPr>
          <w:cantSplit w:val="1"/>
        </w:trPr>
        <w:tc>
          <w:tcPr>
            <w:tcW w:type="dxa" w:w="936"/>
          </w:tcPr>
          <w:p>
            <w:pPr>
              <w:keepLines w:val="1"/>
              <w:keepNext w:val="1"/>
            </w:pPr>
            <w:r>
              <w:t>L-M2 Quasi-identificadores no controlados</w:t>
            </w:r>
          </w:p>
        </w:tc>
        <w:tc>
          <w:tcPr>
            <w:tcW w:type="dxa" w:w="936"/>
          </w:tcPr>
          <w:p>
            <w:pPr>
              <w:keepLines w:val="1"/>
              <w:keepNext w:val="1"/>
            </w:pPr>
            <w:r>
              <w:t>L – Linking</w:t>
            </w:r>
          </w:p>
        </w:tc>
        <w:tc>
          <w:tcPr>
            <w:tcW w:type="dxa" w:w="936"/>
          </w:tcPr>
          <w:p>
            <w:pPr>
              <w:keepLines w:val="1"/>
              <w:keepNext w:val="1"/>
            </w:pPr>
            <w:r>
              <w:t>OBJ-L: Evaluar riesgo de re-identificación por datos indirectos</w:t>
            </w:r>
          </w:p>
        </w:tc>
        <w:tc>
          <w:tcPr>
            <w:tcW w:type="dxa" w:w="936"/>
          </w:tcPr>
          <w:p>
            <w:pPr>
              <w:keepLines w:val="1"/>
              <w:keepNext w:val="1"/>
            </w:pPr>
            <w:r>
              <w:t>Art. 4.5 (seudonimización); Art. 25.1 (minimización); Art. 32.1.a</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ENS mp.si.2 (Criptografía)</w:t>
            </w:r>
          </w:p>
        </w:tc>
        <w:tc>
          <w:tcPr>
            <w:tcW w:type="dxa" w:w="936"/>
          </w:tcPr>
          <w:p>
            <w:pPr>
              <w:keepLines w:val="1"/>
              <w:keepNext w:val="1"/>
            </w:pPr>
            <w:r>
              <w:t>L – Linking; I – Identifying</w:t>
            </w:r>
          </w:p>
        </w:tc>
        <w:tc>
          <w:tcPr>
            <w:tcW w:type="dxa" w:w="936"/>
          </w:tcPr>
          <w:p>
            <w:pPr>
              <w:keepLines w:val="1"/>
              <w:keepNext w:val="1"/>
            </w:pPr>
            <w:r>
              <w:t>ISO 29101; ISO 20889</w:t>
            </w:r>
          </w:p>
        </w:tc>
        <w:tc>
          <w:tcPr>
            <w:tcW w:type="dxa" w:w="936"/>
          </w:tcPr>
          <w:p>
            <w:pPr>
              <w:keepLines w:val="1"/>
              <w:keepNext w:val="1"/>
            </w:pPr>
            <w:r>
              <w:t>🟠 Alto</w:t>
            </w:r>
          </w:p>
        </w:tc>
      </w:tr>
      <w:tr>
        <w:trPr>
          <w:cantSplit w:val="1"/>
        </w:trPr>
        <w:tc>
          <w:tcPr>
            <w:tcW w:type="dxa" w:w="936"/>
          </w:tcPr>
          <w:p>
            <w:pPr>
              <w:keepLines w:val="1"/>
              <w:keepNext w:val="1"/>
            </w:pPr>
            <w:r>
              <w:t>L-M3 ICAV (Índice Controles Anti-Vinculación)</w:t>
            </w:r>
          </w:p>
        </w:tc>
        <w:tc>
          <w:tcPr>
            <w:tcW w:type="dxa" w:w="936"/>
          </w:tcPr>
          <w:p>
            <w:pPr>
              <w:keepLines w:val="1"/>
              <w:keepNext w:val="1"/>
            </w:pPr>
            <w:r>
              <w:t>L – Linking</w:t>
            </w:r>
          </w:p>
        </w:tc>
        <w:tc>
          <w:tcPr>
            <w:tcW w:type="dxa" w:w="936"/>
          </w:tcPr>
          <w:p>
            <w:pPr>
              <w:keepLines w:val="1"/>
              <w:keepNext w:val="1"/>
            </w:pPr>
            <w:r>
              <w:t>OBJ-L: Verificar efectividad de controles técnicos anti-linking</w:t>
            </w:r>
          </w:p>
        </w:tc>
        <w:tc>
          <w:tcPr>
            <w:tcW w:type="dxa" w:w="936"/>
          </w:tcPr>
          <w:p>
            <w:pPr>
              <w:keepLines w:val="1"/>
              <w:keepNext w:val="1"/>
            </w:pPr>
            <w:r>
              <w:t>Art. 25 (PbD/PbDf); Art. 32.1.a (seudonimización y cifrado)</w:t>
            </w:r>
          </w:p>
        </w:tc>
        <w:tc>
          <w:tcPr>
            <w:tcW w:type="dxa" w:w="936"/>
          </w:tcPr>
          <w:p>
            <w:pPr>
              <w:keepLines w:val="1"/>
              <w:keepNext w:val="1"/>
            </w:pPr>
            <w:r>
              <w:t>Art. 9.2 AI Act (robustez y ciberseguridad)</w:t>
            </w:r>
          </w:p>
        </w:tc>
        <w:tc>
          <w:tcPr>
            <w:tcW w:type="dxa" w:w="936"/>
          </w:tcPr>
          <w:p>
            <w:pPr>
              <w:keepLines w:val="1"/>
              <w:keepNext w:val="1"/>
            </w:pPr>
            <w:r>
              <w:t>Art. 21.2 NIS2 (medidas de seguridad)</w:t>
            </w:r>
          </w:p>
        </w:tc>
        <w:tc>
          <w:tcPr>
            <w:tcW w:type="dxa" w:w="936"/>
          </w:tcPr>
          <w:p>
            <w:pPr>
              <w:keepLines w:val="1"/>
              <w:keepNext w:val="1"/>
            </w:pPr>
            <w:r>
              <w:t>ENS mp.si.2; op.exp.1</w:t>
            </w:r>
          </w:p>
        </w:tc>
        <w:tc>
          <w:tcPr>
            <w:tcW w:type="dxa" w:w="936"/>
          </w:tcPr>
          <w:p>
            <w:pPr>
              <w:keepLines w:val="1"/>
              <w:keepNext w:val="1"/>
            </w:pPr>
            <w:r>
              <w:t>L – Linking</w:t>
            </w:r>
          </w:p>
        </w:tc>
        <w:tc>
          <w:tcPr>
            <w:tcW w:type="dxa" w:w="936"/>
          </w:tcPr>
          <w:p>
            <w:pPr>
              <w:keepLines w:val="1"/>
              <w:keepNext w:val="1"/>
            </w:pPr>
            <w:r>
              <w:t>ISO 27001 A.8.11; ISO 29101</w:t>
            </w:r>
          </w:p>
        </w:tc>
        <w:tc>
          <w:tcPr>
            <w:tcW w:type="dxa" w:w="936"/>
          </w:tcPr>
          <w:p>
            <w:pPr>
              <w:keepLines w:val="1"/>
              <w:keepNext w:val="1"/>
            </w:pPr>
            <w:r>
              <w:t>🟠 Alto</w:t>
            </w:r>
          </w:p>
        </w:tc>
      </w:tr>
      <w:tr>
        <w:trPr>
          <w:cantSplit w:val="1"/>
        </w:trPr>
        <w:tc>
          <w:tcPr>
            <w:tcW w:type="dxa" w:w="936"/>
          </w:tcPr>
          <w:p>
            <w:pPr>
              <w:keepLines w:val="1"/>
              <w:keepNext w:val="1"/>
            </w:pPr>
            <w:r>
              <w:t>L-M4 TTDL (tiempo detección vinculación)</w:t>
            </w:r>
          </w:p>
        </w:tc>
        <w:tc>
          <w:tcPr>
            <w:tcW w:type="dxa" w:w="936"/>
          </w:tcPr>
          <w:p>
            <w:pPr>
              <w:keepLines w:val="1"/>
              <w:keepNext w:val="1"/>
            </w:pPr>
            <w:r>
              <w:t>L – Linking</w:t>
            </w:r>
          </w:p>
        </w:tc>
        <w:tc>
          <w:tcPr>
            <w:tcW w:type="dxa" w:w="936"/>
          </w:tcPr>
          <w:p>
            <w:pPr>
              <w:keepLines w:val="1"/>
              <w:keepNext w:val="1"/>
            </w:pPr>
            <w:r>
              <w:t>OBJ-L: Medir capacidad de detección de vinculación no autorizada</w:t>
            </w:r>
          </w:p>
        </w:tc>
        <w:tc>
          <w:tcPr>
            <w:tcW w:type="dxa" w:w="936"/>
          </w:tcPr>
          <w:p>
            <w:pPr>
              <w:keepLines w:val="1"/>
              <w:keepNext w:val="1"/>
            </w:pPr>
            <w:r>
              <w:t>Arts. 33–34 (brechas; límite 72h); Art. 32 (seguridad)</w:t>
            </w:r>
          </w:p>
        </w:tc>
        <w:tc>
          <w:tcPr>
            <w:tcW w:type="dxa" w:w="936"/>
          </w:tcPr>
          <w:p>
            <w:pPr>
              <w:keepLines w:val="1"/>
              <w:keepNext w:val="1"/>
            </w:pPr>
            <w:r>
              <w:t>—</w:t>
            </w:r>
          </w:p>
        </w:tc>
        <w:tc>
          <w:tcPr>
            <w:tcW w:type="dxa" w:w="936"/>
          </w:tcPr>
          <w:p>
            <w:pPr>
              <w:keepLines w:val="1"/>
              <w:keepNext w:val="1"/>
            </w:pPr>
            <w:r>
              <w:t>Art. 23 NIS2 (notificación incidentes; 24h alerta)</w:t>
            </w:r>
          </w:p>
        </w:tc>
        <w:tc>
          <w:tcPr>
            <w:tcW w:type="dxa" w:w="936"/>
          </w:tcPr>
          <w:p>
            <w:pPr>
              <w:keepLines w:val="1"/>
              <w:keepNext w:val="1"/>
            </w:pPr>
            <w:r>
              <w:t>ENS op.exp.7 (Gestión incidentes)</w:t>
            </w:r>
          </w:p>
        </w:tc>
        <w:tc>
          <w:tcPr>
            <w:tcW w:type="dxa" w:w="936"/>
          </w:tcPr>
          <w:p>
            <w:pPr>
              <w:keepLines w:val="1"/>
              <w:keepNext w:val="1"/>
            </w:pPr>
            <w:r>
              <w:t>L – Linking; Data Breach</w:t>
            </w:r>
          </w:p>
        </w:tc>
        <w:tc>
          <w:tcPr>
            <w:tcW w:type="dxa" w:w="936"/>
          </w:tcPr>
          <w:p>
            <w:pPr>
              <w:keepLines w:val="1"/>
              <w:keepNext w:val="1"/>
            </w:pPr>
            <w:r>
              <w:t>ISO 27035; NIST SP 800-61</w:t>
            </w:r>
          </w:p>
        </w:tc>
        <w:tc>
          <w:tcPr>
            <w:tcW w:type="dxa" w:w="936"/>
          </w:tcPr>
          <w:p>
            <w:pPr>
              <w:keepLines w:val="1"/>
              <w:keepNext w:val="1"/>
            </w:pPr>
            <w:r>
              <w:t>🔴 Crítico</w:t>
            </w:r>
          </w:p>
        </w:tc>
      </w:tr>
      <w:tr>
        <w:trPr>
          <w:cantSplit w:val="1"/>
        </w:trPr>
        <w:tc>
          <w:tcPr>
            <w:tcW w:type="dxa" w:w="936"/>
          </w:tcPr>
          <w:p>
            <w:pPr>
              <w:keepLines w:val="1"/>
              <w:keepNext w:val="1"/>
            </w:pPr>
            <w:r>
              <w:t>L-M5 % modelos ML con EIPD de linking</w:t>
            </w:r>
          </w:p>
        </w:tc>
        <w:tc>
          <w:tcPr>
            <w:tcW w:type="dxa" w:w="936"/>
          </w:tcPr>
          <w:p>
            <w:pPr>
              <w:keepLines w:val="1"/>
              <w:keepNext w:val="1"/>
            </w:pPr>
            <w:r>
              <w:t>L – Linking</w:t>
            </w:r>
          </w:p>
        </w:tc>
        <w:tc>
          <w:tcPr>
            <w:tcW w:type="dxa" w:w="936"/>
          </w:tcPr>
          <w:p>
            <w:pPr>
              <w:keepLines w:val="1"/>
              <w:keepNext w:val="1"/>
            </w:pPr>
            <w:r>
              <w:t>OBJ-L: Garantizar evaluación de linking en sistemas ML/IA</w:t>
            </w:r>
          </w:p>
        </w:tc>
        <w:tc>
          <w:tcPr>
            <w:tcW w:type="dxa" w:w="936"/>
          </w:tcPr>
          <w:p>
            <w:pPr>
              <w:keepLines w:val="1"/>
              <w:keepNext w:val="1"/>
            </w:pPr>
            <w:r>
              <w:t>Art. 35 (EIPD obligatoria); Art. 36 (consulta previa)</w:t>
            </w:r>
          </w:p>
        </w:tc>
        <w:tc>
          <w:tcPr>
            <w:tcW w:type="dxa" w:w="936"/>
          </w:tcPr>
          <w:p>
            <w:pPr>
              <w:keepLines w:val="1"/>
              <w:keepNext w:val="1"/>
            </w:pPr>
            <w:r>
              <w:t>Arts. 9, 10 AI Act (gestión de riesgos; calidad de datos)</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L – Linking; NC – Non-compliance</w:t>
            </w:r>
          </w:p>
        </w:tc>
        <w:tc>
          <w:tcPr>
            <w:tcW w:type="dxa" w:w="936"/>
          </w:tcPr>
          <w:p>
            <w:pPr>
              <w:keepLines w:val="1"/>
              <w:keepNext w:val="1"/>
            </w:pPr>
            <w:r>
              <w:t>ISO 29134 (EIPD); ISO 42001 §6.1</w:t>
            </w:r>
          </w:p>
        </w:tc>
        <w:tc>
          <w:tcPr>
            <w:tcW w:type="dxa" w:w="936"/>
          </w:tcPr>
          <w:p>
            <w:pPr>
              <w:keepLines w:val="1"/>
              <w:keepNext w:val="1"/>
            </w:pPr>
            <w:r>
              <w:t>🔴 Crítico</w:t>
            </w:r>
          </w:p>
        </w:tc>
      </w:tr>
      <w:tr>
        <w:trPr>
          <w:cantSplit w:val="1"/>
        </w:trPr>
        <w:tc>
          <w:tcPr>
            <w:tcW w:type="dxa" w:w="936"/>
          </w:tcPr>
          <w:p>
            <w:pPr>
              <w:keepLines w:val="1"/>
              <w:keepNext w:val="1"/>
            </w:pPr>
            <w:r>
              <w:t>I-M1 K-anonimato de datasets publicados</w:t>
            </w:r>
          </w:p>
        </w:tc>
        <w:tc>
          <w:tcPr>
            <w:tcW w:type="dxa" w:w="936"/>
          </w:tcPr>
          <w:p>
            <w:pPr>
              <w:keepLines w:val="1"/>
              <w:keepNext w:val="1"/>
            </w:pPr>
            <w:r>
              <w:t>I – Identifying</w:t>
            </w:r>
          </w:p>
        </w:tc>
        <w:tc>
          <w:tcPr>
            <w:tcW w:type="dxa" w:w="936"/>
          </w:tcPr>
          <w:p>
            <w:pPr>
              <w:keepLines w:val="1"/>
              <w:keepNext w:val="1"/>
            </w:pPr>
            <w:r>
              <w:t>OBJ-I: Verificar que datos publicados no permiten re-identificación</w:t>
            </w:r>
          </w:p>
        </w:tc>
        <w:tc>
          <w:tcPr>
            <w:tcW w:type="dxa" w:w="936"/>
          </w:tcPr>
          <w:p>
            <w:pPr>
              <w:keepLines w:val="1"/>
              <w:keepNext w:val="1"/>
            </w:pPr>
            <w:r>
              <w:t>Art. 4.1 (datos personales); Art. 5.1.e; Art. 89 (investigación)</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I – Identifying</w:t>
            </w:r>
          </w:p>
        </w:tc>
        <w:tc>
          <w:tcPr>
            <w:tcW w:type="dxa" w:w="936"/>
          </w:tcPr>
          <w:p>
            <w:pPr>
              <w:keepLines w:val="1"/>
              <w:keepNext w:val="1"/>
            </w:pPr>
            <w:r>
              <w:t>ISO 20889; GT29 WP216 (Dictamen 05/2014 sobre anonimización)</w:t>
            </w:r>
          </w:p>
        </w:tc>
        <w:tc>
          <w:tcPr>
            <w:tcW w:type="dxa" w:w="936"/>
          </w:tcPr>
          <w:p>
            <w:pPr>
              <w:keepLines w:val="1"/>
              <w:keepNext w:val="1"/>
            </w:pPr>
            <w:r>
              <w:t>🔴 Crítico</w:t>
            </w:r>
          </w:p>
        </w:tc>
      </w:tr>
      <w:tr>
        <w:trPr>
          <w:cantSplit w:val="1"/>
        </w:trPr>
        <w:tc>
          <w:tcPr>
            <w:tcW w:type="dxa" w:w="936"/>
          </w:tcPr>
          <w:p>
            <w:pPr>
              <w:keepLines w:val="1"/>
              <w:keepNext w:val="1"/>
            </w:pPr>
            <w:r>
              <w:t>I-M2 Datasets con análisis re-identificación</w:t>
            </w:r>
          </w:p>
        </w:tc>
        <w:tc>
          <w:tcPr>
            <w:tcW w:type="dxa" w:w="936"/>
          </w:tcPr>
          <w:p>
            <w:pPr>
              <w:keepLines w:val="1"/>
              <w:keepNext w:val="1"/>
            </w:pPr>
            <w:r>
              <w:t>I – Identifying</w:t>
            </w:r>
          </w:p>
        </w:tc>
        <w:tc>
          <w:tcPr>
            <w:tcW w:type="dxa" w:w="936"/>
          </w:tcPr>
          <w:p>
            <w:pPr>
              <w:keepLines w:val="1"/>
              <w:keepNext w:val="1"/>
            </w:pPr>
            <w:r>
              <w:t>OBJ-I: Documentar proceso de análisis antes de cada publicación</w:t>
            </w:r>
          </w:p>
        </w:tc>
        <w:tc>
          <w:tcPr>
            <w:tcW w:type="dxa" w:w="936"/>
          </w:tcPr>
          <w:p>
            <w:pPr>
              <w:keepLines w:val="1"/>
              <w:keepNext w:val="1"/>
            </w:pPr>
            <w:r>
              <w:t>Art. 25 (PbD); Art. 32 (evaluación de riesgos)</w:t>
            </w:r>
          </w:p>
        </w:tc>
        <w:tc>
          <w:tcPr>
            <w:tcW w:type="dxa" w:w="936"/>
          </w:tcPr>
          <w:p>
            <w:pPr>
              <w:keepLines w:val="1"/>
              <w:keepNext w:val="1"/>
            </w:pPr>
            <w:r>
              <w:t>Art. 10.3 AI Act (datos de entrenamiento anonimizados)</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I – Identifying</w:t>
            </w:r>
          </w:p>
        </w:tc>
        <w:tc>
          <w:tcPr>
            <w:tcW w:type="dxa" w:w="936"/>
          </w:tcPr>
          <w:p>
            <w:pPr>
              <w:keepLines w:val="1"/>
              <w:keepNext w:val="1"/>
            </w:pPr>
            <w:r>
              <w:t>ISO 29134; ENISA Pseudonymisation Guidelines 2019</w:t>
            </w:r>
          </w:p>
        </w:tc>
        <w:tc>
          <w:tcPr>
            <w:tcW w:type="dxa" w:w="936"/>
          </w:tcPr>
          <w:p>
            <w:pPr>
              <w:keepLines w:val="1"/>
              <w:keepNext w:val="1"/>
            </w:pPr>
            <w:r>
              <w:t>🟠 Alto</w:t>
            </w:r>
          </w:p>
        </w:tc>
      </w:tr>
      <w:tr>
        <w:trPr>
          <w:cantSplit w:val="1"/>
        </w:trPr>
        <w:tc>
          <w:tcPr>
            <w:tcW w:type="dxa" w:w="936"/>
          </w:tcPr>
          <w:p>
            <w:pPr>
              <w:keepLines w:val="1"/>
              <w:keepNext w:val="1"/>
            </w:pPr>
            <w:r>
              <w:t>I-M3 FAR — False Acceptance Rate biométrica</w:t>
            </w:r>
          </w:p>
        </w:tc>
        <w:tc>
          <w:tcPr>
            <w:tcW w:type="dxa" w:w="936"/>
          </w:tcPr>
          <w:p>
            <w:pPr>
              <w:keepLines w:val="1"/>
              <w:keepNext w:val="1"/>
            </w:pPr>
            <w:r>
              <w:t>I – Identifying</w:t>
            </w:r>
          </w:p>
        </w:tc>
        <w:tc>
          <w:tcPr>
            <w:tcW w:type="dxa" w:w="936"/>
          </w:tcPr>
          <w:p>
            <w:pPr>
              <w:keepLines w:val="1"/>
              <w:keepNext w:val="1"/>
            </w:pPr>
            <w:r>
              <w:t>OBJ-I: Controlar la tasa de error en identificación biométrica</w:t>
            </w:r>
          </w:p>
        </w:tc>
        <w:tc>
          <w:tcPr>
            <w:tcW w:type="dxa" w:w="936"/>
          </w:tcPr>
          <w:p>
            <w:pPr>
              <w:keepLines w:val="1"/>
              <w:keepNext w:val="1"/>
            </w:pPr>
            <w:r>
              <w:t>Art. 9 RGPD (categorías especiales); Art. 35 (EIPD obligatoria); Art. 22 LOPDGDD</w:t>
            </w:r>
          </w:p>
        </w:tc>
        <w:tc>
          <w:tcPr>
            <w:tcW w:type="dxa" w:w="936"/>
          </w:tcPr>
          <w:p>
            <w:pPr>
              <w:keepLines w:val="1"/>
              <w:keepNext w:val="1"/>
            </w:pPr>
            <w:r>
              <w:t>Art. 5.1.e AI Act (prohibición reconocimiento facial en espacio público en tiempo real)</w:t>
            </w:r>
          </w:p>
        </w:tc>
        <w:tc>
          <w:tcPr>
            <w:tcW w:type="dxa" w:w="936"/>
          </w:tcPr>
          <w:p>
            <w:pPr>
              <w:keepLines w:val="1"/>
              <w:keepNext w:val="1"/>
            </w:pPr>
            <w:r>
              <w:t>—</w:t>
            </w:r>
          </w:p>
        </w:tc>
        <w:tc>
          <w:tcPr>
            <w:tcW w:type="dxa" w:w="936"/>
          </w:tcPr>
          <w:p>
            <w:pPr>
              <w:keepLines w:val="1"/>
              <w:keepNext w:val="1"/>
            </w:pPr>
            <w:r>
              <w:t>ENS (datos de categoría alta)</w:t>
            </w:r>
          </w:p>
        </w:tc>
        <w:tc>
          <w:tcPr>
            <w:tcW w:type="dxa" w:w="936"/>
          </w:tcPr>
          <w:p>
            <w:pPr>
              <w:keepLines w:val="1"/>
              <w:keepNext w:val="1"/>
            </w:pPr>
            <w:r>
              <w:t>I – Identifying; D – Detecting</w:t>
            </w:r>
          </w:p>
        </w:tc>
        <w:tc>
          <w:tcPr>
            <w:tcW w:type="dxa" w:w="936"/>
          </w:tcPr>
          <w:p>
            <w:pPr>
              <w:keepLines w:val="1"/>
              <w:keepNext w:val="1"/>
            </w:pPr>
            <w:r>
              <w:t>ISO/IEC 19795 (biometría); ISO 27701 §7.2.3</w:t>
            </w:r>
          </w:p>
        </w:tc>
        <w:tc>
          <w:tcPr>
            <w:tcW w:type="dxa" w:w="936"/>
          </w:tcPr>
          <w:p>
            <w:pPr>
              <w:keepLines w:val="1"/>
              <w:keepNext w:val="1"/>
            </w:pPr>
            <w:r>
              <w:t>🔴 Crítico</w:t>
            </w:r>
          </w:p>
        </w:tc>
      </w:tr>
      <w:tr>
        <w:trPr>
          <w:cantSplit w:val="1"/>
        </w:trPr>
        <w:tc>
          <w:tcPr>
            <w:tcW w:type="dxa" w:w="936"/>
          </w:tcPr>
          <w:p>
            <w:pPr>
              <w:keepLines w:val="1"/>
              <w:keepNext w:val="1"/>
            </w:pPr>
            <w:r>
              <w:t>I-M4 % sistemas biométricos con EIPD válida</w:t>
            </w:r>
          </w:p>
        </w:tc>
        <w:tc>
          <w:tcPr>
            <w:tcW w:type="dxa" w:w="936"/>
          </w:tcPr>
          <w:p>
            <w:pPr>
              <w:keepLines w:val="1"/>
              <w:keepNext w:val="1"/>
            </w:pPr>
            <w:r>
              <w:t>I – Identifying</w:t>
            </w:r>
          </w:p>
        </w:tc>
        <w:tc>
          <w:tcPr>
            <w:tcW w:type="dxa" w:w="936"/>
          </w:tcPr>
          <w:p>
            <w:pPr>
              <w:keepLines w:val="1"/>
              <w:keepNext w:val="1"/>
            </w:pPr>
            <w:r>
              <w:t>OBJ-I: Cumplir obligación de EIPD para tratamientos biométricos</w:t>
            </w:r>
          </w:p>
        </w:tc>
        <w:tc>
          <w:tcPr>
            <w:tcW w:type="dxa" w:w="936"/>
          </w:tcPr>
          <w:p>
            <w:pPr>
              <w:keepLines w:val="1"/>
              <w:keepNext w:val="1"/>
            </w:pPr>
            <w:r>
              <w:t>Art. 9 + Art. 35 RGPD; Art. 22 LOPDGDD; Listado AEPD de tratamientos que requieren EIPD</w:t>
            </w:r>
          </w:p>
        </w:tc>
        <w:tc>
          <w:tcPr>
            <w:tcW w:type="dxa" w:w="936"/>
          </w:tcPr>
          <w:p>
            <w:pPr>
              <w:keepLines w:val="1"/>
              <w:keepNext w:val="1"/>
            </w:pPr>
            <w:r>
              <w:t>Arts. 5.1.e, 6 AI Act</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I – Identifying; NC – Non-compliance</w:t>
            </w:r>
          </w:p>
        </w:tc>
        <w:tc>
          <w:tcPr>
            <w:tcW w:type="dxa" w:w="936"/>
          </w:tcPr>
          <w:p>
            <w:pPr>
              <w:keepLines w:val="1"/>
              <w:keepNext w:val="1"/>
            </w:pPr>
            <w:r>
              <w:t>ISO 29134; ISO 27701 §7.2.8</w:t>
            </w:r>
          </w:p>
        </w:tc>
        <w:tc>
          <w:tcPr>
            <w:tcW w:type="dxa" w:w="936"/>
          </w:tcPr>
          <w:p>
            <w:pPr>
              <w:keepLines w:val="1"/>
              <w:keepNext w:val="1"/>
            </w:pPr>
            <w:r>
              <w:t>🔴 Máximo: caso AENA 2025 (10,04 M€)</w:t>
            </w:r>
          </w:p>
        </w:tc>
      </w:tr>
      <w:tr>
        <w:trPr>
          <w:cantSplit w:val="1"/>
        </w:trPr>
        <w:tc>
          <w:tcPr>
            <w:tcW w:type="dxa" w:w="936"/>
          </w:tcPr>
          <w:p>
            <w:pPr>
              <w:keepLines w:val="1"/>
              <w:keepNext w:val="1"/>
            </w:pPr>
            <w:r>
              <w:t>I-M5 Epsilon (ε) privacidad diferencial</w:t>
            </w:r>
          </w:p>
        </w:tc>
        <w:tc>
          <w:tcPr>
            <w:tcW w:type="dxa" w:w="936"/>
          </w:tcPr>
          <w:p>
            <w:pPr>
              <w:keepLines w:val="1"/>
              <w:keepNext w:val="1"/>
            </w:pPr>
            <w:r>
              <w:t>I – Identifying</w:t>
            </w:r>
          </w:p>
        </w:tc>
        <w:tc>
          <w:tcPr>
            <w:tcW w:type="dxa" w:w="936"/>
          </w:tcPr>
          <w:p>
            <w:pPr>
              <w:keepLines w:val="1"/>
              <w:keepNext w:val="1"/>
            </w:pPr>
            <w:r>
              <w:t>OBJ-I: Cuantificar riesgo de re-identificación en modelos ML</w:t>
            </w:r>
          </w:p>
        </w:tc>
        <w:tc>
          <w:tcPr>
            <w:tcW w:type="dxa" w:w="936"/>
          </w:tcPr>
          <w:p>
            <w:pPr>
              <w:keepLines w:val="1"/>
              <w:keepNext w:val="1"/>
            </w:pPr>
            <w:r>
              <w:t>Art. 32 (seguridad técnica adecuada); Art. 35 (EIPD para tecnologías innovadoras)</w:t>
            </w:r>
          </w:p>
        </w:tc>
        <w:tc>
          <w:tcPr>
            <w:tcW w:type="dxa" w:w="936"/>
          </w:tcPr>
          <w:p>
            <w:pPr>
              <w:keepLines w:val="1"/>
              <w:keepNext w:val="1"/>
            </w:pPr>
            <w:r>
              <w:t>Art. 9.2 AI Act (robustez y ciberseguridad de sistemas IA)</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I – Identifying</w:t>
            </w:r>
          </w:p>
        </w:tc>
        <w:tc>
          <w:tcPr>
            <w:tcW w:type="dxa" w:w="936"/>
          </w:tcPr>
          <w:p>
            <w:pPr>
              <w:keepLines w:val="1"/>
              <w:keepNext w:val="1"/>
            </w:pPr>
            <w:r>
              <w:t>NIST SP 800-188; Dwork &amp; Roth (2014)</w:t>
            </w:r>
          </w:p>
        </w:tc>
        <w:tc>
          <w:tcPr>
            <w:tcW w:type="dxa" w:w="936"/>
          </w:tcPr>
          <w:p>
            <w:pPr>
              <w:keepLines w:val="1"/>
              <w:keepNext w:val="1"/>
            </w:pPr>
            <w:r>
              <w:t>🟠 Alto</w:t>
            </w:r>
          </w:p>
        </w:tc>
      </w:tr>
      <w:tr>
        <w:trPr>
          <w:cantSplit w:val="1"/>
        </w:trPr>
        <w:tc>
          <w:tcPr>
            <w:tcW w:type="dxa" w:w="936"/>
          </w:tcPr>
          <w:p>
            <w:pPr>
              <w:keepLines w:val="1"/>
              <w:keepNext w:val="1"/>
            </w:pPr>
            <w:r>
              <w:t>NR-M1 Completitud de logs de acceso</w:t>
            </w:r>
          </w:p>
        </w:tc>
        <w:tc>
          <w:tcPr>
            <w:tcW w:type="dxa" w:w="936"/>
          </w:tcPr>
          <w:p>
            <w:pPr>
              <w:keepLines w:val="1"/>
              <w:keepNext w:val="1"/>
            </w:pPr>
            <w:r>
              <w:t>NR – Non-repudiation</w:t>
            </w:r>
          </w:p>
        </w:tc>
        <w:tc>
          <w:tcPr>
            <w:tcW w:type="dxa" w:w="936"/>
          </w:tcPr>
          <w:p>
            <w:pPr>
              <w:keepLines w:val="1"/>
              <w:keepNext w:val="1"/>
            </w:pPr>
            <w:r>
              <w:t>OBJ-NR: Garantizar trazabilidad completa de accesos a datos</w:t>
            </w:r>
          </w:p>
        </w:tc>
        <w:tc>
          <w:tcPr>
            <w:tcW w:type="dxa" w:w="936"/>
          </w:tcPr>
          <w:p>
            <w:pPr>
              <w:keepLines w:val="1"/>
              <w:keepNext w:val="1"/>
            </w:pPr>
            <w:r>
              <w:t>Art. 5.2 (responsabilidad proactiva); Art. 32 (seguridad)</w:t>
            </w:r>
          </w:p>
        </w:tc>
        <w:tc>
          <w:tcPr>
            <w:tcW w:type="dxa" w:w="936"/>
          </w:tcPr>
          <w:p>
            <w:pPr>
              <w:keepLines w:val="1"/>
              <w:keepNext w:val="1"/>
            </w:pPr>
            <w:r>
              <w:t>—</w:t>
            </w:r>
          </w:p>
        </w:tc>
        <w:tc>
          <w:tcPr>
            <w:tcW w:type="dxa" w:w="936"/>
          </w:tcPr>
          <w:p>
            <w:pPr>
              <w:keepLines w:val="1"/>
              <w:keepNext w:val="1"/>
            </w:pPr>
            <w:r>
              <w:t>Art. 21.2 NIS2 (trazabilidad como medida de seguridad)</w:t>
            </w:r>
          </w:p>
        </w:tc>
        <w:tc>
          <w:tcPr>
            <w:tcW w:type="dxa" w:w="936"/>
          </w:tcPr>
          <w:p>
            <w:pPr>
              <w:keepLines w:val="1"/>
              <w:keepNext w:val="1"/>
            </w:pPr>
            <w:r>
              <w:t>ENS op.exp.8 (Registro de actividades del operador); op.exp.10</w:t>
            </w:r>
          </w:p>
        </w:tc>
        <w:tc>
          <w:tcPr>
            <w:tcW w:type="dxa" w:w="936"/>
          </w:tcPr>
          <w:p>
            <w:pPr>
              <w:keepLines w:val="1"/>
              <w:keepNext w:val="1"/>
            </w:pPr>
            <w:r>
              <w:t>NR – Non-repudiation</w:t>
            </w:r>
          </w:p>
        </w:tc>
        <w:tc>
          <w:tcPr>
            <w:tcW w:type="dxa" w:w="936"/>
          </w:tcPr>
          <w:p>
            <w:pPr>
              <w:keepLines w:val="1"/>
              <w:keepNext w:val="1"/>
            </w:pPr>
            <w:r>
              <w:t>ISO 27001 A.8.15; ISO 27701 §8.4.2</w:t>
            </w:r>
          </w:p>
        </w:tc>
        <w:tc>
          <w:tcPr>
            <w:tcW w:type="dxa" w:w="936"/>
          </w:tcPr>
          <w:p>
            <w:pPr>
              <w:keepLines w:val="1"/>
              <w:keepNext w:val="1"/>
            </w:pPr>
            <w:r>
              <w:t>🟠 Alto</w:t>
            </w:r>
          </w:p>
        </w:tc>
      </w:tr>
      <w:tr>
        <w:trPr>
          <w:cantSplit w:val="1"/>
        </w:trPr>
        <w:tc>
          <w:tcPr>
            <w:tcW w:type="dxa" w:w="936"/>
          </w:tcPr>
          <w:p>
            <w:pPr>
              <w:keepLines w:val="1"/>
              <w:keepNext w:val="1"/>
            </w:pPr>
            <w:r>
              <w:t>NR-M2 Desviación retención logs vs. política</w:t>
            </w:r>
          </w:p>
        </w:tc>
        <w:tc>
          <w:tcPr>
            <w:tcW w:type="dxa" w:w="936"/>
          </w:tcPr>
          <w:p>
            <w:pPr>
              <w:keepLines w:val="1"/>
              <w:keepNext w:val="1"/>
            </w:pPr>
            <w:r>
              <w:t>NR – Non-repudiation</w:t>
            </w:r>
          </w:p>
        </w:tc>
        <w:tc>
          <w:tcPr>
            <w:tcW w:type="dxa" w:w="936"/>
          </w:tcPr>
          <w:p>
            <w:pPr>
              <w:keepLines w:val="1"/>
              <w:keepNext w:val="1"/>
            </w:pPr>
            <w:r>
              <w:t>OBJ-NR: Asegurar que la retención de logs respeta principio de limitación del plazo</w:t>
            </w:r>
          </w:p>
        </w:tc>
        <w:tc>
          <w:tcPr>
            <w:tcW w:type="dxa" w:w="936"/>
          </w:tcPr>
          <w:p>
            <w:pPr>
              <w:keepLines w:val="1"/>
              <w:keepNext w:val="1"/>
            </w:pPr>
            <w:r>
              <w:t>Art. 5.1.e RGPD (limitación del plazo de conservación); Art. 30</w:t>
            </w:r>
          </w:p>
        </w:tc>
        <w:tc>
          <w:tcPr>
            <w:tcW w:type="dxa" w:w="936"/>
          </w:tcPr>
          <w:p>
            <w:pPr>
              <w:keepLines w:val="1"/>
              <w:keepNext w:val="1"/>
            </w:pPr>
            <w:r>
              <w:t>—</w:t>
            </w:r>
          </w:p>
        </w:tc>
        <w:tc>
          <w:tcPr>
            <w:tcW w:type="dxa" w:w="936"/>
          </w:tcPr>
          <w:p>
            <w:pPr>
              <w:keepLines w:val="1"/>
              <w:keepNext w:val="1"/>
            </w:pPr>
            <w:r>
              <w:t>Art. 21.2 NIS2</w:t>
            </w:r>
          </w:p>
        </w:tc>
        <w:tc>
          <w:tcPr>
            <w:tcW w:type="dxa" w:w="936"/>
          </w:tcPr>
          <w:p>
            <w:pPr>
              <w:keepLines w:val="1"/>
              <w:keepNext w:val="1"/>
            </w:pPr>
            <w:r>
              <w:t>ENS op.exp.8; op.exp.10</w:t>
            </w:r>
          </w:p>
        </w:tc>
        <w:tc>
          <w:tcPr>
            <w:tcW w:type="dxa" w:w="936"/>
          </w:tcPr>
          <w:p>
            <w:pPr>
              <w:keepLines w:val="1"/>
              <w:keepNext w:val="1"/>
            </w:pPr>
            <w:r>
              <w:t>NR – Non-repudiation</w:t>
            </w:r>
          </w:p>
        </w:tc>
        <w:tc>
          <w:tcPr>
            <w:tcW w:type="dxa" w:w="936"/>
          </w:tcPr>
          <w:p>
            <w:pPr>
              <w:keepLines w:val="1"/>
              <w:keepNext w:val="1"/>
            </w:pPr>
            <w:r>
              <w:t>ISO 27001 A.8.15</w:t>
            </w:r>
          </w:p>
        </w:tc>
        <w:tc>
          <w:tcPr>
            <w:tcW w:type="dxa" w:w="936"/>
          </w:tcPr>
          <w:p>
            <w:pPr>
              <w:keepLines w:val="1"/>
              <w:keepNext w:val="1"/>
            </w:pPr>
            <w:r>
              <w:t>🟠 Alto</w:t>
            </w:r>
          </w:p>
        </w:tc>
      </w:tr>
      <w:tr>
        <w:trPr>
          <w:cantSplit w:val="1"/>
        </w:trPr>
        <w:tc>
          <w:tcPr>
            <w:tcW w:type="dxa" w:w="936"/>
          </w:tcPr>
          <w:p>
            <w:pPr>
              <w:keepLines w:val="1"/>
              <w:keepNext w:val="1"/>
            </w:pPr>
            <w:r>
              <w:t>NR-M3 % supresiones IA en ≤ 30 días</w:t>
            </w:r>
          </w:p>
        </w:tc>
        <w:tc>
          <w:tcPr>
            <w:tcW w:type="dxa" w:w="936"/>
          </w:tcPr>
          <w:p>
            <w:pPr>
              <w:keepLines w:val="1"/>
              <w:keepNext w:val="1"/>
            </w:pPr>
            <w:r>
              <w:t>NR – Non-repudiation</w:t>
            </w:r>
          </w:p>
        </w:tc>
        <w:tc>
          <w:tcPr>
            <w:tcW w:type="dxa" w:w="936"/>
          </w:tcPr>
          <w:p>
            <w:pPr>
              <w:keepLines w:val="1"/>
              <w:keepNext w:val="1"/>
            </w:pPr>
            <w:r>
              <w:t>OBJ-NR: Garantizar ejercicio efectivo del derecho de supresión en sistemas IA</w:t>
            </w:r>
          </w:p>
        </w:tc>
        <w:tc>
          <w:tcPr>
            <w:tcW w:type="dxa" w:w="936"/>
          </w:tcPr>
          <w:p>
            <w:pPr>
              <w:keepLines w:val="1"/>
              <w:keepNext w:val="1"/>
            </w:pPr>
            <w:r>
              <w:t>Art. 17 RGPD (derecho al olvido); Art. 12.3 (plazo 30 días); Art. 19</w:t>
            </w:r>
          </w:p>
        </w:tc>
        <w:tc>
          <w:tcPr>
            <w:tcW w:type="dxa" w:w="936"/>
          </w:tcPr>
          <w:p>
            <w:pPr>
              <w:keepLines w:val="1"/>
              <w:keepNext w:val="1"/>
            </w:pPr>
            <w:r>
              <w:t>Art. 13 AI Act (transparencia); Art. 52 (sistemas de IA de relación con usuarios)</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NR – Non-repudiation; U – Unawareness</w:t>
            </w:r>
          </w:p>
        </w:tc>
        <w:tc>
          <w:tcPr>
            <w:tcW w:type="dxa" w:w="936"/>
          </w:tcPr>
          <w:p>
            <w:pPr>
              <w:keepLines w:val="1"/>
              <w:keepNext w:val="1"/>
            </w:pPr>
            <w:r>
              <w:t>ISO 27701 §7.3.4</w:t>
            </w:r>
          </w:p>
        </w:tc>
        <w:tc>
          <w:tcPr>
            <w:tcW w:type="dxa" w:w="936"/>
          </w:tcPr>
          <w:p>
            <w:pPr>
              <w:keepLines w:val="1"/>
              <w:keepNext w:val="1"/>
            </w:pPr>
            <w:r>
              <w:t>🔴 Crítico</w:t>
            </w:r>
          </w:p>
        </w:tc>
      </w:tr>
      <w:tr>
        <w:trPr>
          <w:cantSplit w:val="1"/>
        </w:trPr>
        <w:tc>
          <w:tcPr>
            <w:tcW w:type="dxa" w:w="936"/>
          </w:tcPr>
          <w:p>
            <w:pPr>
              <w:keepLines w:val="1"/>
              <w:keepNext w:val="1"/>
            </w:pPr>
            <w:r>
              <w:t>NR-M4 TMRS — Tiempo Medio Respuesta Supresión</w:t>
            </w:r>
          </w:p>
        </w:tc>
        <w:tc>
          <w:tcPr>
            <w:tcW w:type="dxa" w:w="936"/>
          </w:tcPr>
          <w:p>
            <w:pPr>
              <w:keepLines w:val="1"/>
              <w:keepNext w:val="1"/>
            </w:pPr>
            <w:r>
              <w:t>NR – Non-repudiation</w:t>
            </w:r>
          </w:p>
        </w:tc>
        <w:tc>
          <w:tcPr>
            <w:tcW w:type="dxa" w:w="936"/>
          </w:tcPr>
          <w:p>
            <w:pPr>
              <w:keepLines w:val="1"/>
              <w:keepNext w:val="1"/>
            </w:pPr>
            <w:r>
              <w:t>OBJ-NR: Medir eficiencia del proceso de atención de derechos de supresión</w:t>
            </w:r>
          </w:p>
        </w:tc>
        <w:tc>
          <w:tcPr>
            <w:tcW w:type="dxa" w:w="936"/>
          </w:tcPr>
          <w:p>
            <w:pPr>
              <w:keepLines w:val="1"/>
              <w:keepNext w:val="1"/>
            </w:pPr>
            <w:r>
              <w:t>Art. 12.3 RGPD (plazo legal 30 días); Art. 17 (supresión); LOPDGDD Art. 12</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NR – Non-repudiation; U – Unawareness</w:t>
            </w:r>
          </w:p>
        </w:tc>
        <w:tc>
          <w:tcPr>
            <w:tcW w:type="dxa" w:w="936"/>
          </w:tcPr>
          <w:p>
            <w:pPr>
              <w:keepLines w:val="1"/>
              <w:keepNext w:val="1"/>
            </w:pPr>
            <w:r>
              <w:t>ISO 27701 §7.3.4</w:t>
            </w:r>
          </w:p>
        </w:tc>
        <w:tc>
          <w:tcPr>
            <w:tcW w:type="dxa" w:w="936"/>
          </w:tcPr>
          <w:p>
            <w:pPr>
              <w:keepLines w:val="1"/>
              <w:keepNext w:val="1"/>
            </w:pPr>
            <w:r>
              <w:t>🔴 Crítico</w:t>
            </w:r>
          </w:p>
        </w:tc>
      </w:tr>
      <w:tr>
        <w:trPr>
          <w:cantSplit w:val="1"/>
        </w:trPr>
        <w:tc>
          <w:tcPr>
            <w:tcW w:type="dxa" w:w="936"/>
          </w:tcPr>
          <w:p>
            <w:pPr>
              <w:keepLines w:val="1"/>
              <w:keepNext w:val="1"/>
            </w:pPr>
            <w:r>
              <w:t>NR-M5 % consentimientos con firma eIDAS</w:t>
            </w:r>
          </w:p>
        </w:tc>
        <w:tc>
          <w:tcPr>
            <w:tcW w:type="dxa" w:w="936"/>
          </w:tcPr>
          <w:p>
            <w:pPr>
              <w:keepLines w:val="1"/>
              <w:keepNext w:val="1"/>
            </w:pPr>
            <w:r>
              <w:t>NR – Non-repudiation</w:t>
            </w:r>
          </w:p>
        </w:tc>
        <w:tc>
          <w:tcPr>
            <w:tcW w:type="dxa" w:w="936"/>
          </w:tcPr>
          <w:p>
            <w:pPr>
              <w:keepLines w:val="1"/>
              <w:keepNext w:val="1"/>
            </w:pPr>
            <w:r>
              <w:t>OBJ-NR: Verificar no repudio de consentimientos con firma digital válida</w:t>
            </w:r>
          </w:p>
        </w:tc>
        <w:tc>
          <w:tcPr>
            <w:tcW w:type="dxa" w:w="936"/>
          </w:tcPr>
          <w:p>
            <w:pPr>
              <w:keepLines w:val="1"/>
              <w:keepNext w:val="1"/>
            </w:pPr>
            <w:r>
              <w:t>Art. 7 RGPD (consentimiento documentado); eIDAS2 Reg. 2024/1183</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ENS mp.si.3 (Firma electrónica)</w:t>
            </w:r>
          </w:p>
        </w:tc>
        <w:tc>
          <w:tcPr>
            <w:tcW w:type="dxa" w:w="936"/>
          </w:tcPr>
          <w:p>
            <w:pPr>
              <w:keepLines w:val="1"/>
              <w:keepNext w:val="1"/>
            </w:pPr>
            <w:r>
              <w:t>NR – Non-repudiation</w:t>
            </w:r>
          </w:p>
        </w:tc>
        <w:tc>
          <w:tcPr>
            <w:tcW w:type="dxa" w:w="936"/>
          </w:tcPr>
          <w:p>
            <w:pPr>
              <w:keepLines w:val="1"/>
              <w:keepNext w:val="1"/>
            </w:pPr>
            <w:r>
              <w:t>ETSI EN 319 series; ISO 27001 A.5.36</w:t>
            </w:r>
          </w:p>
        </w:tc>
        <w:tc>
          <w:tcPr>
            <w:tcW w:type="dxa" w:w="936"/>
          </w:tcPr>
          <w:p>
            <w:pPr>
              <w:keepLines w:val="1"/>
              <w:keepNext w:val="1"/>
            </w:pPr>
            <w:r>
              <w:t>🟡 Medio</w:t>
            </w:r>
          </w:p>
        </w:tc>
      </w:tr>
      <w:tr>
        <w:trPr>
          <w:cantSplit w:val="1"/>
        </w:trPr>
        <w:tc>
          <w:tcPr>
            <w:tcW w:type="dxa" w:w="936"/>
          </w:tcPr>
          <w:p>
            <w:pPr>
              <w:keepLines w:val="1"/>
              <w:keepNext w:val="1"/>
            </w:pPr>
            <w:r>
              <w:t>D-M1 IPV — Índice Proporcionalidad Videovigilancia</w:t>
            </w:r>
          </w:p>
        </w:tc>
        <w:tc>
          <w:tcPr>
            <w:tcW w:type="dxa" w:w="936"/>
          </w:tcPr>
          <w:p>
            <w:pPr>
              <w:keepLines w:val="1"/>
              <w:keepNext w:val="1"/>
            </w:pPr>
            <w:r>
              <w:t>D – Detecting</w:t>
            </w:r>
          </w:p>
        </w:tc>
        <w:tc>
          <w:tcPr>
            <w:tcW w:type="dxa" w:w="936"/>
          </w:tcPr>
          <w:p>
            <w:pPr>
              <w:keepLines w:val="1"/>
              <w:keepNext w:val="1"/>
            </w:pPr>
            <w:r>
              <w:t>OBJ-D: Verificar proporcionalidad y conformidad de sistemas CCTV</w:t>
            </w:r>
          </w:p>
        </w:tc>
        <w:tc>
          <w:tcPr>
            <w:tcW w:type="dxa" w:w="936"/>
          </w:tcPr>
          <w:p>
            <w:pPr>
              <w:keepLines w:val="1"/>
              <w:keepNext w:val="1"/>
            </w:pPr>
            <w:r>
              <w:t>Arts. 5.1.b, 5.1.c (limitación del propósito; minimización); Art. 13</w:t>
            </w:r>
          </w:p>
        </w:tc>
        <w:tc>
          <w:tcPr>
            <w:tcW w:type="dxa" w:w="936"/>
          </w:tcPr>
          <w:p>
            <w:pPr>
              <w:keepLines w:val="1"/>
              <w:keepNext w:val="1"/>
            </w:pPr>
            <w:r>
              <w:t>Art. 5.1.d AI Act (prohibición vigilancia masiva en tiempo real con IA)</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D – Detecting</w:t>
            </w:r>
          </w:p>
        </w:tc>
        <w:tc>
          <w:tcPr>
            <w:tcW w:type="dxa" w:w="936"/>
          </w:tcPr>
          <w:p>
            <w:pPr>
              <w:keepLines w:val="1"/>
              <w:keepNext w:val="1"/>
            </w:pPr>
            <w:r>
              <w:t>ISO 27701 §7.2.3</w:t>
            </w:r>
          </w:p>
        </w:tc>
        <w:tc>
          <w:tcPr>
            <w:tcW w:type="dxa" w:w="936"/>
          </w:tcPr>
          <w:p>
            <w:pPr>
              <w:keepLines w:val="1"/>
              <w:keepNext w:val="1"/>
            </w:pPr>
            <w:r>
              <w:t>🔴 Crítico</w:t>
            </w:r>
          </w:p>
        </w:tc>
      </w:tr>
      <w:tr>
        <w:trPr>
          <w:cantSplit w:val="1"/>
        </w:trPr>
        <w:tc>
          <w:tcPr>
            <w:tcW w:type="dxa" w:w="936"/>
          </w:tcPr>
          <w:p>
            <w:pPr>
              <w:keepLines w:val="1"/>
              <w:keepNext w:val="1"/>
            </w:pPr>
            <w:r>
              <w:t>D-M1 (cont.)</w:t>
            </w:r>
          </w:p>
        </w:tc>
        <w:tc>
          <w:tcPr>
            <w:tcW w:type="dxa" w:w="936"/>
          </w:tcPr>
          <w:p>
            <w:pPr>
              <w:keepLines w:val="1"/>
              <w:keepNext w:val="1"/>
            </w:pPr>
            <w:r>
              <w:t>D – Detecting</w:t>
            </w:r>
          </w:p>
        </w:tc>
        <w:tc>
          <w:tcPr>
            <w:tcW w:type="dxa" w:w="936"/>
          </w:tcPr>
          <w:p>
            <w:pPr>
              <w:keepLines w:val="1"/>
              <w:keepNext w:val="1"/>
            </w:pPr>
            <w:r>
              <w:t>—</w:t>
            </w:r>
          </w:p>
        </w:tc>
        <w:tc>
          <w:tcPr>
            <w:tcW w:type="dxa" w:w="936"/>
          </w:tcPr>
          <w:p>
            <w:pPr>
              <w:keepLines w:val="1"/>
              <w:keepNext w:val="1"/>
            </w:pPr>
            <w:r>
              <w:t>Art. 22 LOPDGDD (videovigilancia); Instrucción AEPD 1/2006</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D – Detecting</w:t>
            </w:r>
          </w:p>
        </w:tc>
        <w:tc>
          <w:tcPr>
            <w:tcW w:type="dxa" w:w="936"/>
          </w:tcPr>
          <w:p>
            <w:pPr>
              <w:keepLines w:val="1"/>
              <w:keepNext w:val="1"/>
            </w:pPr>
            <w:r>
              <w:t>—</w:t>
            </w:r>
          </w:p>
        </w:tc>
        <w:tc>
          <w:tcPr>
            <w:tcW w:type="dxa" w:w="936"/>
          </w:tcPr>
          <w:p>
            <w:pPr>
              <w:keepLines w:val="1"/>
              <w:keepNext w:val="1"/>
            </w:pPr>
            <w:r>
              <w:t>🔴 Crítico</w:t>
            </w:r>
          </w:p>
        </w:tc>
      </w:tr>
      <w:tr>
        <w:trPr>
          <w:cantSplit w:val="1"/>
        </w:trPr>
        <w:tc>
          <w:tcPr>
            <w:tcW w:type="dxa" w:w="936"/>
          </w:tcPr>
          <w:p>
            <w:pPr>
              <w:keepLines w:val="1"/>
              <w:keepNext w:val="1"/>
            </w:pPr>
            <w:r>
              <w:t>D-M2 % cámaras con EIPD válida</w:t>
            </w:r>
          </w:p>
        </w:tc>
        <w:tc>
          <w:tcPr>
            <w:tcW w:type="dxa" w:w="936"/>
          </w:tcPr>
          <w:p>
            <w:pPr>
              <w:keepLines w:val="1"/>
              <w:keepNext w:val="1"/>
            </w:pPr>
            <w:r>
              <w:t>D – Detecting</w:t>
            </w:r>
          </w:p>
        </w:tc>
        <w:tc>
          <w:tcPr>
            <w:tcW w:type="dxa" w:w="936"/>
          </w:tcPr>
          <w:p>
            <w:pPr>
              <w:keepLines w:val="1"/>
              <w:keepNext w:val="1"/>
            </w:pPr>
            <w:r>
              <w:t>OBJ-D: Garantizar evaluación de impacto para cada sistema CCTV</w:t>
            </w:r>
          </w:p>
        </w:tc>
        <w:tc>
          <w:tcPr>
            <w:tcW w:type="dxa" w:w="936"/>
          </w:tcPr>
          <w:p>
            <w:pPr>
              <w:keepLines w:val="1"/>
              <w:keepNext w:val="1"/>
            </w:pPr>
            <w:r>
              <w:t>Art. 35 RGPD (EIPD para "observación sistemática de una zona de acceso público a gran escala")</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D – Detecting; NC – Non-compliance</w:t>
            </w:r>
          </w:p>
        </w:tc>
        <w:tc>
          <w:tcPr>
            <w:tcW w:type="dxa" w:w="936"/>
          </w:tcPr>
          <w:p>
            <w:pPr>
              <w:keepLines w:val="1"/>
              <w:keepNext w:val="1"/>
            </w:pPr>
            <w:r>
              <w:t>ISO 29134</w:t>
            </w:r>
          </w:p>
        </w:tc>
        <w:tc>
          <w:tcPr>
            <w:tcW w:type="dxa" w:w="936"/>
          </w:tcPr>
          <w:p>
            <w:pPr>
              <w:keepLines w:val="1"/>
              <w:keepNext w:val="1"/>
            </w:pPr>
            <w:r>
              <w:t>🔴 Crítico</w:t>
            </w:r>
          </w:p>
        </w:tc>
      </w:tr>
      <w:tr>
        <w:trPr>
          <w:cantSplit w:val="1"/>
        </w:trPr>
        <w:tc>
          <w:tcPr>
            <w:tcW w:type="dxa" w:w="936"/>
          </w:tcPr>
          <w:p>
            <w:pPr>
              <w:keepLines w:val="1"/>
              <w:keepNext w:val="1"/>
            </w:pPr>
            <w:r>
              <w:t>D-M3 Inventario IoT con evaluación privacidad</w:t>
            </w:r>
          </w:p>
        </w:tc>
        <w:tc>
          <w:tcPr>
            <w:tcW w:type="dxa" w:w="936"/>
          </w:tcPr>
          <w:p>
            <w:pPr>
              <w:keepLines w:val="1"/>
              <w:keepNext w:val="1"/>
            </w:pPr>
            <w:r>
              <w:t>D – Detecting</w:t>
            </w:r>
          </w:p>
        </w:tc>
        <w:tc>
          <w:tcPr>
            <w:tcW w:type="dxa" w:w="936"/>
          </w:tcPr>
          <w:p>
            <w:pPr>
              <w:keepLines w:val="1"/>
              <w:keepNext w:val="1"/>
            </w:pPr>
            <w:r>
              <w:t>OBJ-D: Controlar el riesgo de detección no autorizada por IoT</w:t>
            </w:r>
          </w:p>
        </w:tc>
        <w:tc>
          <w:tcPr>
            <w:tcW w:type="dxa" w:w="936"/>
          </w:tcPr>
          <w:p>
            <w:pPr>
              <w:keepLines w:val="1"/>
              <w:keepNext w:val="1"/>
            </w:pPr>
            <w:r>
              <w:t>Art. 25 (PbD); Art. 32 (seguridad adecuada para IoT)</w:t>
            </w:r>
          </w:p>
        </w:tc>
        <w:tc>
          <w:tcPr>
            <w:tcW w:type="dxa" w:w="936"/>
          </w:tcPr>
          <w:p>
            <w:pPr>
              <w:keepLines w:val="1"/>
              <w:keepNext w:val="1"/>
            </w:pPr>
            <w:r>
              <w:t>Arts. 6, 9 AI Act (IA integrada en dispositivos)</w:t>
            </w:r>
          </w:p>
        </w:tc>
        <w:tc>
          <w:tcPr>
            <w:tcW w:type="dxa" w:w="936"/>
          </w:tcPr>
          <w:p>
            <w:pPr>
              <w:keepLines w:val="1"/>
              <w:keepNext w:val="1"/>
            </w:pPr>
            <w:r>
              <w:t>Art. 21.2 NIS2 (seguridad de dispositivos conectados)</w:t>
            </w:r>
          </w:p>
        </w:tc>
        <w:tc>
          <w:tcPr>
            <w:tcW w:type="dxa" w:w="936"/>
          </w:tcPr>
          <w:p>
            <w:pPr>
              <w:keepLines w:val="1"/>
              <w:keepNext w:val="1"/>
            </w:pPr>
            <w:r>
              <w:t>ENS (infraestructuras críticas)</w:t>
            </w:r>
          </w:p>
        </w:tc>
        <w:tc>
          <w:tcPr>
            <w:tcW w:type="dxa" w:w="936"/>
          </w:tcPr>
          <w:p>
            <w:pPr>
              <w:keepLines w:val="1"/>
              <w:keepNext w:val="1"/>
            </w:pPr>
            <w:r>
              <w:t>D – Detecting; L – Linking</w:t>
            </w:r>
          </w:p>
        </w:tc>
        <w:tc>
          <w:tcPr>
            <w:tcW w:type="dxa" w:w="936"/>
          </w:tcPr>
          <w:p>
            <w:pPr>
              <w:keepLines w:val="1"/>
              <w:keepNext w:val="1"/>
            </w:pPr>
            <w:r>
              <w:t>ETSI EN 303 645 (ciberseg. IoT); ISO 27001 A.8.1</w:t>
            </w:r>
          </w:p>
        </w:tc>
        <w:tc>
          <w:tcPr>
            <w:tcW w:type="dxa" w:w="936"/>
          </w:tcPr>
          <w:p>
            <w:pPr>
              <w:keepLines w:val="1"/>
              <w:keepNext w:val="1"/>
            </w:pPr>
            <w:r>
              <w:t>🟠 Alto</w:t>
            </w:r>
          </w:p>
        </w:tc>
      </w:tr>
      <w:tr>
        <w:trPr>
          <w:cantSplit w:val="1"/>
        </w:trPr>
        <w:tc>
          <w:tcPr>
            <w:tcW w:type="dxa" w:w="936"/>
          </w:tcPr>
          <w:p>
            <w:pPr>
              <w:keepLines w:val="1"/>
              <w:keepNext w:val="1"/>
            </w:pPr>
            <w:r>
              <w:t>D-M4 Vulnerabilidades side-channel sin remediar</w:t>
            </w:r>
          </w:p>
        </w:tc>
        <w:tc>
          <w:tcPr>
            <w:tcW w:type="dxa" w:w="936"/>
          </w:tcPr>
          <w:p>
            <w:pPr>
              <w:keepLines w:val="1"/>
              <w:keepNext w:val="1"/>
            </w:pPr>
            <w:r>
              <w:t>D – Detecting</w:t>
            </w:r>
          </w:p>
        </w:tc>
        <w:tc>
          <w:tcPr>
            <w:tcW w:type="dxa" w:w="936"/>
          </w:tcPr>
          <w:p>
            <w:pPr>
              <w:keepLines w:val="1"/>
              <w:keepNext w:val="1"/>
            </w:pPr>
            <w:r>
              <w:t>OBJ-D: Identificar y remediar vulnerabilidades de canal lateral en IoT</w:t>
            </w:r>
          </w:p>
        </w:tc>
        <w:tc>
          <w:tcPr>
            <w:tcW w:type="dxa" w:w="936"/>
          </w:tcPr>
          <w:p>
            <w:pPr>
              <w:keepLines w:val="1"/>
              <w:keepNext w:val="1"/>
            </w:pPr>
            <w:r>
              <w:t>Art. 32 (medidas técnicas adecuadas); Art. 32.1.d (planes de contingencia)</w:t>
            </w:r>
          </w:p>
        </w:tc>
        <w:tc>
          <w:tcPr>
            <w:tcW w:type="dxa" w:w="936"/>
          </w:tcPr>
          <w:p>
            <w:pPr>
              <w:keepLines w:val="1"/>
              <w:keepNext w:val="1"/>
            </w:pPr>
            <w:r>
              <w:t>Art. 9.2 AI Act (robustez frente a ataques)</w:t>
            </w:r>
          </w:p>
        </w:tc>
        <w:tc>
          <w:tcPr>
            <w:tcW w:type="dxa" w:w="936"/>
          </w:tcPr>
          <w:p>
            <w:pPr>
              <w:keepLines w:val="1"/>
              <w:keepNext w:val="1"/>
            </w:pPr>
            <w:r>
              <w:t>Art. 21.2.e NIS2 (gestión de vulnerabilidades)</w:t>
            </w:r>
          </w:p>
        </w:tc>
        <w:tc>
          <w:tcPr>
            <w:tcW w:type="dxa" w:w="936"/>
          </w:tcPr>
          <w:p>
            <w:pPr>
              <w:keepLines w:val="1"/>
              <w:keepNext w:val="1"/>
            </w:pPr>
            <w:r>
              <w:t>ENS mp.si.2</w:t>
            </w:r>
          </w:p>
        </w:tc>
        <w:tc>
          <w:tcPr>
            <w:tcW w:type="dxa" w:w="936"/>
          </w:tcPr>
          <w:p>
            <w:pPr>
              <w:keepLines w:val="1"/>
              <w:keepNext w:val="1"/>
            </w:pPr>
            <w:r>
              <w:t>D – Detecting</w:t>
            </w:r>
          </w:p>
        </w:tc>
        <w:tc>
          <w:tcPr>
            <w:tcW w:type="dxa" w:w="936"/>
          </w:tcPr>
          <w:p>
            <w:pPr>
              <w:keepLines w:val="1"/>
              <w:keepNext w:val="1"/>
            </w:pPr>
            <w:r>
              <w:t>NIST SP 800-90B; ISO 27001 A.8.16</w:t>
            </w:r>
          </w:p>
        </w:tc>
        <w:tc>
          <w:tcPr>
            <w:tcW w:type="dxa" w:w="936"/>
          </w:tcPr>
          <w:p>
            <w:pPr>
              <w:keepLines w:val="1"/>
              <w:keepNext w:val="1"/>
            </w:pPr>
            <w:r>
              <w:t>🟠 Alto</w:t>
            </w:r>
          </w:p>
        </w:tc>
      </w:tr>
      <w:tr>
        <w:trPr>
          <w:cantSplit w:val="1"/>
        </w:trPr>
        <w:tc>
          <w:tcPr>
            <w:tcW w:type="dxa" w:w="936"/>
          </w:tcPr>
          <w:p>
            <w:pPr>
              <w:keepLines w:val="1"/>
              <w:keepNext w:val="1"/>
            </w:pPr>
            <w:r>
              <w:t>D-M5 % empleados informados de monitorización</w:t>
            </w:r>
          </w:p>
        </w:tc>
        <w:tc>
          <w:tcPr>
            <w:tcW w:type="dxa" w:w="936"/>
          </w:tcPr>
          <w:p>
            <w:pPr>
              <w:keepLines w:val="1"/>
              <w:keepNext w:val="1"/>
            </w:pPr>
            <w:r>
              <w:t>D – Detecting</w:t>
            </w:r>
          </w:p>
        </w:tc>
        <w:tc>
          <w:tcPr>
            <w:tcW w:type="dxa" w:w="936"/>
          </w:tcPr>
          <w:p>
            <w:pPr>
              <w:keepLines w:val="1"/>
              <w:keepNext w:val="1"/>
            </w:pPr>
            <w:r>
              <w:t>OBJ-D: Cumplir obligación de información previa en monitorización laboral</w:t>
            </w:r>
          </w:p>
        </w:tc>
        <w:tc>
          <w:tcPr>
            <w:tcW w:type="dxa" w:w="936"/>
          </w:tcPr>
          <w:p>
            <w:pPr>
              <w:keepLines w:val="1"/>
              <w:keepNext w:val="1"/>
            </w:pPr>
            <w:r>
              <w:t>Art. 87 LOPDGDD (derecho a la intimidad en relaciones laborales); Arts. 13–14 RGPD</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D – Detecting; U – Unawareness</w:t>
            </w:r>
          </w:p>
        </w:tc>
        <w:tc>
          <w:tcPr>
            <w:tcW w:type="dxa" w:w="936"/>
          </w:tcPr>
          <w:p>
            <w:pPr>
              <w:keepLines w:val="1"/>
              <w:keepNext w:val="1"/>
            </w:pPr>
            <w:r>
              <w:t>ISO 27701 §7.3.2</w:t>
            </w:r>
          </w:p>
        </w:tc>
        <w:tc>
          <w:tcPr>
            <w:tcW w:type="dxa" w:w="936"/>
          </w:tcPr>
          <w:p>
            <w:pPr>
              <w:keepLines w:val="1"/>
              <w:keepNext w:val="1"/>
            </w:pPr>
            <w:r>
              <w:t>🔴 Crítico</w:t>
            </w:r>
          </w:p>
        </w:tc>
      </w:tr>
      <w:tr>
        <w:trPr>
          <w:cantSplit w:val="1"/>
        </w:trPr>
        <w:tc>
          <w:tcPr>
            <w:tcW w:type="dxa" w:w="936"/>
          </w:tcPr>
          <w:p>
            <w:pPr>
              <w:keepLines w:val="1"/>
              <w:keepNext w:val="1"/>
            </w:pPr>
            <w:r>
              <w:t>DD-M1 % encargados con DPA vigente</w:t>
            </w:r>
          </w:p>
        </w:tc>
        <w:tc>
          <w:tcPr>
            <w:tcW w:type="dxa" w:w="936"/>
          </w:tcPr>
          <w:p>
            <w:pPr>
              <w:keepLines w:val="1"/>
              <w:keepNext w:val="1"/>
            </w:pPr>
            <w:r>
              <w:t>DD – Data Disclosure</w:t>
            </w:r>
          </w:p>
        </w:tc>
        <w:tc>
          <w:tcPr>
            <w:tcW w:type="dxa" w:w="936"/>
          </w:tcPr>
          <w:p>
            <w:pPr>
              <w:keepLines w:val="1"/>
              <w:keepNext w:val="1"/>
            </w:pPr>
            <w:r>
              <w:t>OBJ-DD: Garantizar que todos los encargados cuentan con contrato Art. 28</w:t>
            </w:r>
          </w:p>
        </w:tc>
        <w:tc>
          <w:tcPr>
            <w:tcW w:type="dxa" w:w="936"/>
          </w:tcPr>
          <w:p>
            <w:pPr>
              <w:keepLines w:val="1"/>
              <w:keepNext w:val="1"/>
            </w:pPr>
            <w:r>
              <w:t>Art. 28 RGPD (contratos con encargados); Art. 29 (instrucciones); Art. 82 (responsabilidad solidaria)</w:t>
            </w:r>
          </w:p>
        </w:tc>
        <w:tc>
          <w:tcPr>
            <w:tcW w:type="dxa" w:w="936"/>
          </w:tcPr>
          <w:p>
            <w:pPr>
              <w:keepLines w:val="1"/>
              <w:keepNext w:val="1"/>
            </w:pPr>
            <w:r>
              <w:t>Art. 28 AI Act (obligaciones del operador de IA)</w:t>
            </w:r>
          </w:p>
        </w:tc>
        <w:tc>
          <w:tcPr>
            <w:tcW w:type="dxa" w:w="936"/>
          </w:tcPr>
          <w:p>
            <w:pPr>
              <w:keepLines w:val="1"/>
              <w:keepNext w:val="1"/>
            </w:pPr>
            <w:r>
              <w:t>Art. 21.2 NIS2 (cadena de suministro)</w:t>
            </w:r>
          </w:p>
        </w:tc>
        <w:tc>
          <w:tcPr>
            <w:tcW w:type="dxa" w:w="936"/>
          </w:tcPr>
          <w:p>
            <w:pPr>
              <w:keepLines w:val="1"/>
              <w:keepNext w:val="1"/>
            </w:pPr>
            <w:r>
              <w:t>ENS (subcontratación)</w:t>
            </w:r>
          </w:p>
        </w:tc>
        <w:tc>
          <w:tcPr>
            <w:tcW w:type="dxa" w:w="936"/>
          </w:tcPr>
          <w:p>
            <w:pPr>
              <w:keepLines w:val="1"/>
              <w:keepNext w:val="1"/>
            </w:pPr>
            <w:r>
              <w:t>DD – Data Disclosure</w:t>
            </w:r>
          </w:p>
        </w:tc>
        <w:tc>
          <w:tcPr>
            <w:tcW w:type="dxa" w:w="936"/>
          </w:tcPr>
          <w:p>
            <w:pPr>
              <w:keepLines w:val="1"/>
              <w:keepNext w:val="1"/>
            </w:pPr>
            <w:r>
              <w:t>ISO 27701 §6.12; ISO 27001 A.5.19–5.22</w:t>
            </w:r>
          </w:p>
        </w:tc>
        <w:tc>
          <w:tcPr>
            <w:tcW w:type="dxa" w:w="936"/>
          </w:tcPr>
          <w:p>
            <w:pPr>
              <w:keepLines w:val="1"/>
              <w:keepNext w:val="1"/>
            </w:pPr>
            <w:r>
              <w:t>🔴 Crítico</w:t>
            </w:r>
          </w:p>
        </w:tc>
      </w:tr>
      <w:tr>
        <w:trPr>
          <w:cantSplit w:val="1"/>
        </w:trPr>
        <w:tc>
          <w:tcPr>
            <w:tcW w:type="dxa" w:w="936"/>
          </w:tcPr>
          <w:p>
            <w:pPr>
              <w:keepLines w:val="1"/>
              <w:keepNext w:val="1"/>
            </w:pPr>
            <w:r>
              <w:t>DD-M2 % transferencias internacionales con garantía</w:t>
            </w:r>
          </w:p>
        </w:tc>
        <w:tc>
          <w:tcPr>
            <w:tcW w:type="dxa" w:w="936"/>
          </w:tcPr>
          <w:p>
            <w:pPr>
              <w:keepLines w:val="1"/>
              <w:keepNext w:val="1"/>
            </w:pPr>
            <w:r>
              <w:t>DD – Data Disclosure</w:t>
            </w:r>
          </w:p>
        </w:tc>
        <w:tc>
          <w:tcPr>
            <w:tcW w:type="dxa" w:w="936"/>
          </w:tcPr>
          <w:p>
            <w:pPr>
              <w:keepLines w:val="1"/>
              <w:keepNext w:val="1"/>
            </w:pPr>
            <w:r>
              <w:t>OBJ-DD: Verificar base legal para todas las transferencias a terceros países</w:t>
            </w:r>
          </w:p>
        </w:tc>
        <w:tc>
          <w:tcPr>
            <w:tcW w:type="dxa" w:w="936"/>
          </w:tcPr>
          <w:p>
            <w:pPr>
              <w:keepLines w:val="1"/>
              <w:keepNext w:val="1"/>
            </w:pPr>
            <w:r>
              <w:t>Arts. 44–49 RGPD (transferencias internacionales); SCC UE (2021); DPF UE-EE.UU. (2023)</w:t>
            </w:r>
          </w:p>
        </w:tc>
        <w:tc>
          <w:tcPr>
            <w:tcW w:type="dxa" w:w="936"/>
          </w:tcPr>
          <w:p>
            <w:pPr>
              <w:keepLines w:val="1"/>
              <w:keepNext w:val="1"/>
            </w:pPr>
            <w:r>
              <w:t>Art. 10 AI Act (datos de entrenamiento transfronterizos)</w:t>
            </w:r>
          </w:p>
        </w:tc>
        <w:tc>
          <w:tcPr>
            <w:tcW w:type="dxa" w:w="936"/>
          </w:tcPr>
          <w:p>
            <w:pPr>
              <w:keepLines w:val="1"/>
              <w:keepNext w:val="1"/>
            </w:pPr>
            <w:r>
              <w:t>Art. 21.5 NIS2</w:t>
            </w:r>
          </w:p>
        </w:tc>
        <w:tc>
          <w:tcPr>
            <w:tcW w:type="dxa" w:w="936"/>
          </w:tcPr>
          <w:p>
            <w:pPr>
              <w:keepLines w:val="1"/>
              <w:keepNext w:val="1"/>
            </w:pPr>
            <w:r>
              <w:t>—</w:t>
            </w:r>
          </w:p>
        </w:tc>
        <w:tc>
          <w:tcPr>
            <w:tcW w:type="dxa" w:w="936"/>
          </w:tcPr>
          <w:p>
            <w:pPr>
              <w:keepLines w:val="1"/>
              <w:keepNext w:val="1"/>
            </w:pPr>
            <w:r>
              <w:t>DD – Data Disclosure</w:t>
            </w:r>
          </w:p>
        </w:tc>
        <w:tc>
          <w:tcPr>
            <w:tcW w:type="dxa" w:w="936"/>
          </w:tcPr>
          <w:p>
            <w:pPr>
              <w:keepLines w:val="1"/>
              <w:keepNext w:val="1"/>
            </w:pPr>
            <w:r>
              <w:t>ISO 27701 §8.5</w:t>
            </w:r>
          </w:p>
        </w:tc>
        <w:tc>
          <w:tcPr>
            <w:tcW w:type="dxa" w:w="936"/>
          </w:tcPr>
          <w:p>
            <w:pPr>
              <w:keepLines w:val="1"/>
              <w:keepNext w:val="1"/>
            </w:pPr>
            <w:r>
              <w:t>🔴 Máximo: caso TikTok 530 M€ (2025)</w:t>
            </w:r>
          </w:p>
        </w:tc>
      </w:tr>
      <w:tr>
        <w:trPr>
          <w:cantSplit w:val="1"/>
        </w:trPr>
        <w:tc>
          <w:tcPr>
            <w:tcW w:type="dxa" w:w="936"/>
          </w:tcPr>
          <w:p>
            <w:pPr>
              <w:keepLines w:val="1"/>
              <w:keepNext w:val="1"/>
            </w:pPr>
            <w:r>
              <w:t>DD-M3 % prompts IA con datos personales</w:t>
            </w:r>
          </w:p>
        </w:tc>
        <w:tc>
          <w:tcPr>
            <w:tcW w:type="dxa" w:w="936"/>
          </w:tcPr>
          <w:p>
            <w:pPr>
              <w:keepLines w:val="1"/>
              <w:keepNext w:val="1"/>
            </w:pPr>
            <w:r>
              <w:t>DD – Data Disclosure</w:t>
            </w:r>
          </w:p>
        </w:tc>
        <w:tc>
          <w:tcPr>
            <w:tcW w:type="dxa" w:w="936"/>
          </w:tcPr>
          <w:p>
            <w:pPr>
              <w:keepLines w:val="1"/>
              <w:keepNext w:val="1"/>
            </w:pPr>
            <w:r>
              <w:t>OBJ-DD: Controlar divulgación de datos en herramientas IA generativa</w:t>
            </w:r>
          </w:p>
        </w:tc>
        <w:tc>
          <w:tcPr>
            <w:tcW w:type="dxa" w:w="936"/>
          </w:tcPr>
          <w:p>
            <w:pPr>
              <w:keepLines w:val="1"/>
              <w:keepNext w:val="1"/>
            </w:pPr>
            <w:r>
              <w:t>Art. 5.1.c (minimización); Art. 5.1.b (limitación del propósito); Art. 32</w:t>
            </w:r>
          </w:p>
        </w:tc>
        <w:tc>
          <w:tcPr>
            <w:tcW w:type="dxa" w:w="936"/>
          </w:tcPr>
          <w:p>
            <w:pPr>
              <w:keepLines w:val="1"/>
              <w:keepNext w:val="1"/>
            </w:pPr>
            <w:r>
              <w:t>Arts. 10, 13, 53 AI Act (GPAI: transparencia y protección de datos)</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DD – Data Disclosure</w:t>
            </w:r>
          </w:p>
        </w:tc>
        <w:tc>
          <w:tcPr>
            <w:tcW w:type="dxa" w:w="936"/>
          </w:tcPr>
          <w:p>
            <w:pPr>
              <w:keepLines w:val="1"/>
              <w:keepNext w:val="1"/>
            </w:pPr>
            <w:r>
              <w:t>ISO 42001 §8.3; EDPB Report LLMs 2025</w:t>
            </w:r>
          </w:p>
        </w:tc>
        <w:tc>
          <w:tcPr>
            <w:tcW w:type="dxa" w:w="936"/>
          </w:tcPr>
          <w:p>
            <w:pPr>
              <w:keepLines w:val="1"/>
              <w:keepNext w:val="1"/>
            </w:pPr>
            <w:r>
              <w:t>🔴 Crítico</w:t>
            </w:r>
          </w:p>
        </w:tc>
      </w:tr>
      <w:tr>
        <w:trPr>
          <w:cantSplit w:val="1"/>
        </w:trPr>
        <w:tc>
          <w:tcPr>
            <w:tcW w:type="dxa" w:w="936"/>
          </w:tcPr>
          <w:p>
            <w:pPr>
              <w:keepLines w:val="1"/>
              <w:keepNext w:val="1"/>
            </w:pPr>
            <w:r>
              <w:t>DD-M4 % herramientas IA gen. con EIPD</w:t>
            </w:r>
          </w:p>
        </w:tc>
        <w:tc>
          <w:tcPr>
            <w:tcW w:type="dxa" w:w="936"/>
          </w:tcPr>
          <w:p>
            <w:pPr>
              <w:keepLines w:val="1"/>
              <w:keepNext w:val="1"/>
            </w:pPr>
            <w:r>
              <w:t>DD – Data Disclosure</w:t>
            </w:r>
          </w:p>
        </w:tc>
        <w:tc>
          <w:tcPr>
            <w:tcW w:type="dxa" w:w="936"/>
          </w:tcPr>
          <w:p>
            <w:pPr>
              <w:keepLines w:val="1"/>
              <w:keepNext w:val="1"/>
            </w:pPr>
            <w:r>
              <w:t>OBJ-DD: Garantizar evaluación de impacto previa al despliegue de IA generativa</w:t>
            </w:r>
          </w:p>
        </w:tc>
        <w:tc>
          <w:tcPr>
            <w:tcW w:type="dxa" w:w="936"/>
          </w:tcPr>
          <w:p>
            <w:pPr>
              <w:keepLines w:val="1"/>
              <w:keepNext w:val="1"/>
            </w:pPr>
            <w:r>
              <w:t>Art. 35 RGPD (EIPD para tratamientos con nuevas tecnologías); Art. 36</w:t>
            </w:r>
          </w:p>
        </w:tc>
        <w:tc>
          <w:tcPr>
            <w:tcW w:type="dxa" w:w="936"/>
          </w:tcPr>
          <w:p>
            <w:pPr>
              <w:keepLines w:val="1"/>
              <w:keepNext w:val="1"/>
            </w:pPr>
            <w:r>
              <w:t>Arts. 10, 27 AI Act (FRIA: Fundamental Rights Impact Assessment)</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DD – Data Disclosure; NC – Non-compliance</w:t>
            </w:r>
          </w:p>
        </w:tc>
        <w:tc>
          <w:tcPr>
            <w:tcW w:type="dxa" w:w="936"/>
          </w:tcPr>
          <w:p>
            <w:pPr>
              <w:keepLines w:val="1"/>
              <w:keepNext w:val="1"/>
            </w:pPr>
            <w:r>
              <w:t>ISO 29134; ISO 42001 §6.1.2</w:t>
            </w:r>
          </w:p>
        </w:tc>
        <w:tc>
          <w:tcPr>
            <w:tcW w:type="dxa" w:w="936"/>
          </w:tcPr>
          <w:p>
            <w:pPr>
              <w:keepLines w:val="1"/>
              <w:keepNext w:val="1"/>
            </w:pPr>
            <w:r>
              <w:t>🔴 Crítico</w:t>
            </w:r>
          </w:p>
        </w:tc>
      </w:tr>
      <w:tr>
        <w:trPr>
          <w:cantSplit w:val="1"/>
        </w:trPr>
        <w:tc>
          <w:tcPr>
            <w:tcW w:type="dxa" w:w="936"/>
          </w:tcPr>
          <w:p>
            <w:pPr>
              <w:keepLines w:val="1"/>
              <w:keepNext w:val="1"/>
            </w:pPr>
            <w:r>
              <w:t>DD-M5 IMD — Índice Minimización de Datos</w:t>
            </w:r>
          </w:p>
        </w:tc>
        <w:tc>
          <w:tcPr>
            <w:tcW w:type="dxa" w:w="936"/>
          </w:tcPr>
          <w:p>
            <w:pPr>
              <w:keepLines w:val="1"/>
              <w:keepNext w:val="1"/>
            </w:pPr>
            <w:r>
              <w:t>DD – Data Disclosure</w:t>
            </w:r>
          </w:p>
        </w:tc>
        <w:tc>
          <w:tcPr>
            <w:tcW w:type="dxa" w:w="936"/>
          </w:tcPr>
          <w:p>
            <w:pPr>
              <w:keepLines w:val="1"/>
              <w:keepNext w:val="1"/>
            </w:pPr>
            <w:r>
              <w:t>OBJ-DD: Medir implementación efectiva del principio de minimización</w:t>
            </w:r>
          </w:p>
        </w:tc>
        <w:tc>
          <w:tcPr>
            <w:tcW w:type="dxa" w:w="936"/>
          </w:tcPr>
          <w:p>
            <w:pPr>
              <w:keepLines w:val="1"/>
              <w:keepNext w:val="1"/>
            </w:pPr>
            <w:r>
              <w:t>Art. 5.1.c RGPD (minimización); Art. 25.2 (privacidad por defecto)</w:t>
            </w:r>
          </w:p>
        </w:tc>
        <w:tc>
          <w:tcPr>
            <w:tcW w:type="dxa" w:w="936"/>
          </w:tcPr>
          <w:p>
            <w:pPr>
              <w:keepLines w:val="1"/>
              <w:keepNext w:val="1"/>
            </w:pPr>
            <w:r>
              <w:t>Art. 10.3 AI Act (minimización en datos de entrenamiento)</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DD – Data Disclosure</w:t>
            </w:r>
          </w:p>
        </w:tc>
        <w:tc>
          <w:tcPr>
            <w:tcW w:type="dxa" w:w="936"/>
          </w:tcPr>
          <w:p>
            <w:pPr>
              <w:keepLines w:val="1"/>
              <w:keepNext w:val="1"/>
            </w:pPr>
            <w:r>
              <w:t>ISO 27701 §7.4.1; ISO 29101 §8.3</w:t>
            </w:r>
          </w:p>
        </w:tc>
        <w:tc>
          <w:tcPr>
            <w:tcW w:type="dxa" w:w="936"/>
          </w:tcPr>
          <w:p>
            <w:pPr>
              <w:keepLines w:val="1"/>
              <w:keepNext w:val="1"/>
            </w:pPr>
            <w:r>
              <w:t>🟠 Alto</w:t>
            </w:r>
          </w:p>
        </w:tc>
      </w:tr>
      <w:tr>
        <w:trPr>
          <w:cantSplit w:val="1"/>
        </w:trPr>
        <w:tc>
          <w:tcPr>
            <w:tcW w:type="dxa" w:w="936"/>
          </w:tcPr>
          <w:p>
            <w:pPr>
              <w:keepLines w:val="1"/>
              <w:keepNext w:val="1"/>
            </w:pPr>
            <w:r>
              <w:t>U-M1 ILPP — Legibilidad política privacidad</w:t>
            </w:r>
          </w:p>
        </w:tc>
        <w:tc>
          <w:tcPr>
            <w:tcW w:type="dxa" w:w="936"/>
          </w:tcPr>
          <w:p>
            <w:pPr>
              <w:keepLines w:val="1"/>
              <w:keepNext w:val="1"/>
            </w:pPr>
            <w:r>
              <w:t>U – Unawareness</w:t>
            </w:r>
          </w:p>
        </w:tc>
        <w:tc>
          <w:tcPr>
            <w:tcW w:type="dxa" w:w="936"/>
          </w:tcPr>
          <w:p>
            <w:pPr>
              <w:keepLines w:val="1"/>
              <w:keepNext w:val="1"/>
            </w:pPr>
            <w:r>
              <w:t>OBJ-U: Verificar que la información al interesado es comprensible</w:t>
            </w:r>
          </w:p>
        </w:tc>
        <w:tc>
          <w:tcPr>
            <w:tcW w:type="dxa" w:w="936"/>
          </w:tcPr>
          <w:p>
            <w:pPr>
              <w:keepLines w:val="1"/>
              <w:keepNext w:val="1"/>
            </w:pPr>
            <w:r>
              <w:t>Art. 12.1 RGPD ("lenguaje claro y sencillo"); Arts. 13–14 (contenido informativo)</w:t>
            </w:r>
          </w:p>
        </w:tc>
        <w:tc>
          <w:tcPr>
            <w:tcW w:type="dxa" w:w="936"/>
          </w:tcPr>
          <w:p>
            <w:pPr>
              <w:keepLines w:val="1"/>
              <w:keepNext w:val="1"/>
            </w:pPr>
            <w:r>
              <w:t>Art. 13 AI Act (transparencia a usuarios de IA de alto riesgo)</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U – Unawareness</w:t>
            </w:r>
          </w:p>
        </w:tc>
        <w:tc>
          <w:tcPr>
            <w:tcW w:type="dxa" w:w="936"/>
          </w:tcPr>
          <w:p>
            <w:pPr>
              <w:keepLines w:val="1"/>
              <w:keepNext w:val="1"/>
            </w:pPr>
            <w:r>
              <w:t>ISO 27701 §7.3.2; GT29 WP260</w:t>
            </w:r>
          </w:p>
        </w:tc>
        <w:tc>
          <w:tcPr>
            <w:tcW w:type="dxa" w:w="936"/>
          </w:tcPr>
          <w:p>
            <w:pPr>
              <w:keepLines w:val="1"/>
              <w:keepNext w:val="1"/>
            </w:pPr>
            <w:r>
              <w:t>🔴 Crítico</w:t>
            </w:r>
          </w:p>
        </w:tc>
      </w:tr>
      <w:tr>
        <w:trPr>
          <w:cantSplit w:val="1"/>
        </w:trPr>
        <w:tc>
          <w:tcPr>
            <w:tcW w:type="dxa" w:w="936"/>
          </w:tcPr>
          <w:p>
            <w:pPr>
              <w:keepLines w:val="1"/>
              <w:keepNext w:val="1"/>
            </w:pPr>
            <w:r>
              <w:t>U-M2 % ARCO+ atendidos en plazo</w:t>
            </w:r>
          </w:p>
        </w:tc>
        <w:tc>
          <w:tcPr>
            <w:tcW w:type="dxa" w:w="936"/>
          </w:tcPr>
          <w:p>
            <w:pPr>
              <w:keepLines w:val="1"/>
              <w:keepNext w:val="1"/>
            </w:pPr>
            <w:r>
              <w:t>U – Unawareness</w:t>
            </w:r>
          </w:p>
        </w:tc>
        <w:tc>
          <w:tcPr>
            <w:tcW w:type="dxa" w:w="936"/>
          </w:tcPr>
          <w:p>
            <w:pPr>
              <w:keepLines w:val="1"/>
              <w:keepNext w:val="1"/>
            </w:pPr>
            <w:r>
              <w:t>OBJ-U: Garantizar la atención de derechos en los plazos legales</w:t>
            </w:r>
          </w:p>
        </w:tc>
        <w:tc>
          <w:tcPr>
            <w:tcW w:type="dxa" w:w="936"/>
          </w:tcPr>
          <w:p>
            <w:pPr>
              <w:keepLines w:val="1"/>
              <w:keepNext w:val="1"/>
            </w:pPr>
            <w:r>
              <w:t>Art. 12.3 RGPD (plazo 30 días); Arts. 15–22 (catálogo de derechos); LOPDGDD Arts. 12–18</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U – Unawareness</w:t>
            </w:r>
          </w:p>
        </w:tc>
        <w:tc>
          <w:tcPr>
            <w:tcW w:type="dxa" w:w="936"/>
          </w:tcPr>
          <w:p>
            <w:pPr>
              <w:keepLines w:val="1"/>
              <w:keepNext w:val="1"/>
            </w:pPr>
            <w:r>
              <w:t>ISO 27701 §7.3.4</w:t>
            </w:r>
          </w:p>
        </w:tc>
        <w:tc>
          <w:tcPr>
            <w:tcW w:type="dxa" w:w="936"/>
          </w:tcPr>
          <w:p>
            <w:pPr>
              <w:keepLines w:val="1"/>
              <w:keepNext w:val="1"/>
            </w:pPr>
            <w:r>
              <w:t>🔴 Crítico</w:t>
            </w:r>
          </w:p>
        </w:tc>
      </w:tr>
      <w:tr>
        <w:trPr>
          <w:cantSplit w:val="1"/>
        </w:trPr>
        <w:tc>
          <w:tcPr>
            <w:tcW w:type="dxa" w:w="936"/>
          </w:tcPr>
          <w:p>
            <w:pPr>
              <w:keepLines w:val="1"/>
              <w:keepNext w:val="1"/>
            </w:pPr>
            <w:r>
              <w:t>U-M3 % consentimientos válidos (4 requisitos)</w:t>
            </w:r>
          </w:p>
        </w:tc>
        <w:tc>
          <w:tcPr>
            <w:tcW w:type="dxa" w:w="936"/>
          </w:tcPr>
          <w:p>
            <w:pPr>
              <w:keepLines w:val="1"/>
              <w:keepNext w:val="1"/>
            </w:pPr>
            <w:r>
              <w:t>U – Unawareness</w:t>
            </w:r>
          </w:p>
        </w:tc>
        <w:tc>
          <w:tcPr>
            <w:tcW w:type="dxa" w:w="936"/>
          </w:tcPr>
          <w:p>
            <w:pPr>
              <w:keepLines w:val="1"/>
              <w:keepNext w:val="1"/>
            </w:pPr>
            <w:r>
              <w:t>OBJ-U: Auditar la validez jurídica de los consentimientos recabados</w:t>
            </w:r>
          </w:p>
        </w:tc>
        <w:tc>
          <w:tcPr>
            <w:tcW w:type="dxa" w:w="936"/>
          </w:tcPr>
          <w:p>
            <w:pPr>
              <w:keepLines w:val="1"/>
              <w:keepNext w:val="1"/>
            </w:pPr>
            <w:r>
              <w:t>Arts. 6, 7 RGPD (base jurídica y condiciones del consentimiento); Cdo. 32; GT29 WP259</w:t>
            </w:r>
          </w:p>
        </w:tc>
        <w:tc>
          <w:tcPr>
            <w:tcW w:type="dxa" w:w="936"/>
          </w:tcPr>
          <w:p>
            <w:pPr>
              <w:keepLines w:val="1"/>
              <w:keepNext w:val="1"/>
            </w:pPr>
            <w:r>
              <w:t>Art. 13 AI Act (información previa antes de uso de IA)</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U – Unawareness</w:t>
            </w:r>
          </w:p>
        </w:tc>
        <w:tc>
          <w:tcPr>
            <w:tcW w:type="dxa" w:w="936"/>
          </w:tcPr>
          <w:p>
            <w:pPr>
              <w:keepLines w:val="1"/>
              <w:keepNext w:val="1"/>
            </w:pPr>
            <w:r>
              <w:t>ISO 27701 §7.2.3; IAB TCF v2.2</w:t>
            </w:r>
          </w:p>
        </w:tc>
        <w:tc>
          <w:tcPr>
            <w:tcW w:type="dxa" w:w="936"/>
          </w:tcPr>
          <w:p>
            <w:pPr>
              <w:keepLines w:val="1"/>
              <w:keepNext w:val="1"/>
            </w:pPr>
            <w:r>
              <w:t>🔴 Máximo: consentimiento inválido = base jurídica inexistente</w:t>
            </w:r>
          </w:p>
        </w:tc>
      </w:tr>
      <w:tr>
        <w:trPr>
          <w:cantSplit w:val="1"/>
        </w:trPr>
        <w:tc>
          <w:tcPr>
            <w:tcW w:type="dxa" w:w="936"/>
          </w:tcPr>
          <w:p>
            <w:pPr>
              <w:keepLines w:val="1"/>
              <w:keepNext w:val="1"/>
            </w:pPr>
            <w:r>
              <w:t>U-M4 % decisiones automatizadas con explicación</w:t>
            </w:r>
          </w:p>
        </w:tc>
        <w:tc>
          <w:tcPr>
            <w:tcW w:type="dxa" w:w="936"/>
          </w:tcPr>
          <w:p>
            <w:pPr>
              <w:keepLines w:val="1"/>
              <w:keepNext w:val="1"/>
            </w:pPr>
            <w:r>
              <w:t>U – Unawareness</w:t>
            </w:r>
          </w:p>
        </w:tc>
        <w:tc>
          <w:tcPr>
            <w:tcW w:type="dxa" w:w="936"/>
          </w:tcPr>
          <w:p>
            <w:pPr>
              <w:keepLines w:val="1"/>
              <w:keepNext w:val="1"/>
            </w:pPr>
            <w:r>
              <w:t>OBJ-U: Garantizar el derecho a explicación en decisiones automatizadas</w:t>
            </w:r>
          </w:p>
        </w:tc>
        <w:tc>
          <w:tcPr>
            <w:tcW w:type="dxa" w:w="936"/>
          </w:tcPr>
          <w:p>
            <w:pPr>
              <w:keepLines w:val="1"/>
              <w:keepNext w:val="1"/>
            </w:pPr>
            <w:r>
              <w:t>Art. 22 RGPD (decisiones automatizadas y perfilado); Cdo. 71; GT29 WP251</w:t>
            </w:r>
          </w:p>
        </w:tc>
        <w:tc>
          <w:tcPr>
            <w:tcW w:type="dxa" w:w="936"/>
          </w:tcPr>
          <w:p>
            <w:pPr>
              <w:keepLines w:val="1"/>
              <w:keepNext w:val="1"/>
            </w:pPr>
            <w:r>
              <w:t>Arts. 13, 14, 86 AI Act (derecho a explicación en IA de alto riesgo)</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U – Unawareness; L – Linking</w:t>
            </w:r>
          </w:p>
        </w:tc>
        <w:tc>
          <w:tcPr>
            <w:tcW w:type="dxa" w:w="936"/>
          </w:tcPr>
          <w:p>
            <w:pPr>
              <w:keepLines w:val="1"/>
              <w:keepNext w:val="1"/>
            </w:pPr>
            <w:r>
              <w:t>ISO 27701 §7.3.5</w:t>
            </w:r>
          </w:p>
        </w:tc>
        <w:tc>
          <w:tcPr>
            <w:tcW w:type="dxa" w:w="936"/>
          </w:tcPr>
          <w:p>
            <w:pPr>
              <w:keepLines w:val="1"/>
              <w:keepNext w:val="1"/>
            </w:pPr>
            <w:r>
              <w:t>🔴 Crítico</w:t>
            </w:r>
          </w:p>
        </w:tc>
      </w:tr>
      <w:tr>
        <w:trPr>
          <w:cantSplit w:val="1"/>
        </w:trPr>
        <w:tc>
          <w:tcPr>
            <w:tcW w:type="dxa" w:w="936"/>
          </w:tcPr>
          <w:p>
            <w:pPr>
              <w:keepLines w:val="1"/>
              <w:keepNext w:val="1"/>
            </w:pPr>
            <w:r>
              <w:t>U-M5 % empleados formados en privacidad</w:t>
            </w:r>
          </w:p>
        </w:tc>
        <w:tc>
          <w:tcPr>
            <w:tcW w:type="dxa" w:w="936"/>
          </w:tcPr>
          <w:p>
            <w:pPr>
              <w:keepLines w:val="1"/>
              <w:keepNext w:val="1"/>
            </w:pPr>
            <w:r>
              <w:t>U – Unawareness</w:t>
            </w:r>
          </w:p>
        </w:tc>
        <w:tc>
          <w:tcPr>
            <w:tcW w:type="dxa" w:w="936"/>
          </w:tcPr>
          <w:p>
            <w:pPr>
              <w:keepLines w:val="1"/>
              <w:keepNext w:val="1"/>
            </w:pPr>
            <w:r>
              <w:t>OBJ-U: Medir cobertura de formación en privacidad de personal con acceso a datos</w:t>
            </w:r>
          </w:p>
        </w:tc>
        <w:tc>
          <w:tcPr>
            <w:tcW w:type="dxa" w:w="936"/>
          </w:tcPr>
          <w:p>
            <w:pPr>
              <w:keepLines w:val="1"/>
              <w:keepNext w:val="1"/>
            </w:pPr>
            <w:r>
              <w:t>Art. 39.1.b (función del DPO: concienciación); Art. 32.4 (formación como medida de seguridad)</w:t>
            </w:r>
          </w:p>
        </w:tc>
        <w:tc>
          <w:tcPr>
            <w:tcW w:type="dxa" w:w="936"/>
          </w:tcPr>
          <w:p>
            <w:pPr>
              <w:keepLines w:val="1"/>
              <w:keepNext w:val="1"/>
            </w:pPr>
            <w:r>
              <w:t>Art. 4.2 AI Act (alfabetización en IA para todo el personal)</w:t>
            </w:r>
          </w:p>
        </w:tc>
        <w:tc>
          <w:tcPr>
            <w:tcW w:type="dxa" w:w="936"/>
          </w:tcPr>
          <w:p>
            <w:pPr>
              <w:keepLines w:val="1"/>
              <w:keepNext w:val="1"/>
            </w:pPr>
            <w:r>
              <w:t>Art. 20 NIS2 (formación obligatoria de órganos de dirección)</w:t>
            </w:r>
          </w:p>
        </w:tc>
        <w:tc>
          <w:tcPr>
            <w:tcW w:type="dxa" w:w="936"/>
          </w:tcPr>
          <w:p>
            <w:pPr>
              <w:keepLines w:val="1"/>
              <w:keepNext w:val="1"/>
            </w:pPr>
            <w:r>
              <w:t>ENS mp.per.2</w:t>
            </w:r>
          </w:p>
        </w:tc>
        <w:tc>
          <w:tcPr>
            <w:tcW w:type="dxa" w:w="936"/>
          </w:tcPr>
          <w:p>
            <w:pPr>
              <w:keepLines w:val="1"/>
              <w:keepNext w:val="1"/>
            </w:pPr>
            <w:r>
              <w:t>U – Unawareness</w:t>
            </w:r>
          </w:p>
        </w:tc>
        <w:tc>
          <w:tcPr>
            <w:tcW w:type="dxa" w:w="936"/>
          </w:tcPr>
          <w:p>
            <w:pPr>
              <w:keepLines w:val="1"/>
              <w:keepNext w:val="1"/>
            </w:pPr>
            <w:r>
              <w:t>ISO 27001 A.6.3; ISO 27701 §5.3</w:t>
            </w:r>
          </w:p>
        </w:tc>
        <w:tc>
          <w:tcPr>
            <w:tcW w:type="dxa" w:w="936"/>
          </w:tcPr>
          <w:p>
            <w:pPr>
              <w:keepLines w:val="1"/>
              <w:keepNext w:val="1"/>
            </w:pPr>
            <w:r>
              <w:t>🟠 Alto</w:t>
            </w:r>
          </w:p>
        </w:tc>
      </w:tr>
      <w:tr>
        <w:trPr>
          <w:cantSplit w:val="1"/>
        </w:trPr>
        <w:tc>
          <w:tcPr>
            <w:tcW w:type="dxa" w:w="936"/>
          </w:tcPr>
          <w:p>
            <w:pPr>
              <w:keepLines w:val="1"/>
              <w:keepNext w:val="1"/>
            </w:pPr>
            <w:r>
              <w:t>NC-M1 IMC — Índice Madurez Cumplimiento</w:t>
            </w:r>
          </w:p>
        </w:tc>
        <w:tc>
          <w:tcPr>
            <w:tcW w:type="dxa" w:w="936"/>
          </w:tcPr>
          <w:p>
            <w:pPr>
              <w:keepLines w:val="1"/>
              <w:keepNext w:val="1"/>
            </w:pPr>
            <w:r>
              <w:t>NC – Non-compliance</w:t>
            </w:r>
          </w:p>
        </w:tc>
        <w:tc>
          <w:tcPr>
            <w:tcW w:type="dxa" w:w="936"/>
          </w:tcPr>
          <w:p>
            <w:pPr>
              <w:keepLines w:val="1"/>
              <w:keepNext w:val="1"/>
            </w:pPr>
            <w:r>
              <w:t>OBJ-NC: Evaluar la solidez del sistema de gestión de cumplimiento</w:t>
            </w:r>
          </w:p>
        </w:tc>
        <w:tc>
          <w:tcPr>
            <w:tcW w:type="dxa" w:w="936"/>
          </w:tcPr>
          <w:p>
            <w:pPr>
              <w:keepLines w:val="1"/>
              <w:keepNext w:val="1"/>
            </w:pPr>
            <w:r>
              <w:t>Art. 24 RGPD (responsabilidad proactiva); Art. 5.2 (accountability)</w:t>
            </w:r>
          </w:p>
        </w:tc>
        <w:tc>
          <w:tcPr>
            <w:tcW w:type="dxa" w:w="936"/>
          </w:tcPr>
          <w:p>
            <w:pPr>
              <w:keepLines w:val="1"/>
              <w:keepNext w:val="1"/>
            </w:pPr>
            <w:r>
              <w:t>Arts. 9, 17 AI Act (sistemas de gestión de riesgos)</w:t>
            </w:r>
          </w:p>
        </w:tc>
        <w:tc>
          <w:tcPr>
            <w:tcW w:type="dxa" w:w="936"/>
          </w:tcPr>
          <w:p>
            <w:pPr>
              <w:keepLines w:val="1"/>
              <w:keepNext w:val="1"/>
            </w:pPr>
            <w:r>
              <w:t>Art. 21 NIS2 (obligaciones de seguridad)</w:t>
            </w:r>
          </w:p>
        </w:tc>
        <w:tc>
          <w:tcPr>
            <w:tcW w:type="dxa" w:w="936"/>
          </w:tcPr>
          <w:p>
            <w:pPr>
              <w:keepLines w:val="1"/>
              <w:keepNext w:val="1"/>
            </w:pPr>
            <w:r>
              <w:t>ENS op.pl.1</w:t>
            </w:r>
          </w:p>
        </w:tc>
        <w:tc>
          <w:tcPr>
            <w:tcW w:type="dxa" w:w="936"/>
          </w:tcPr>
          <w:p>
            <w:pPr>
              <w:keepLines w:val="1"/>
              <w:keepNext w:val="1"/>
            </w:pPr>
            <w:r>
              <w:t>NC – Non-compliance</w:t>
            </w:r>
          </w:p>
        </w:tc>
        <w:tc>
          <w:tcPr>
            <w:tcW w:type="dxa" w:w="936"/>
          </w:tcPr>
          <w:p>
            <w:pPr>
              <w:keepLines w:val="1"/>
              <w:keepNext w:val="1"/>
            </w:pPr>
            <w:r>
              <w:t>ISO 27701 §5.2.1; ISO 27001 §6.1.2</w:t>
            </w:r>
          </w:p>
        </w:tc>
        <w:tc>
          <w:tcPr>
            <w:tcW w:type="dxa" w:w="936"/>
          </w:tcPr>
          <w:p>
            <w:pPr>
              <w:keepLines w:val="1"/>
              <w:keepNext w:val="1"/>
            </w:pPr>
            <w:r>
              <w:t>🟠 Alto</w:t>
            </w:r>
          </w:p>
        </w:tc>
      </w:tr>
      <w:tr>
        <w:trPr>
          <w:cantSplit w:val="1"/>
        </w:trPr>
        <w:tc>
          <w:tcPr>
            <w:tcW w:type="dxa" w:w="936"/>
          </w:tcPr>
          <w:p>
            <w:pPr>
              <w:keepLines w:val="1"/>
              <w:keepNext w:val="1"/>
            </w:pPr>
            <w:r>
              <w:t>NC-M2 % tratamientos alto riesgo con EIPD</w:t>
            </w:r>
          </w:p>
        </w:tc>
        <w:tc>
          <w:tcPr>
            <w:tcW w:type="dxa" w:w="936"/>
          </w:tcPr>
          <w:p>
            <w:pPr>
              <w:keepLines w:val="1"/>
              <w:keepNext w:val="1"/>
            </w:pPr>
            <w:r>
              <w:t>NC – Non-compliance</w:t>
            </w:r>
          </w:p>
        </w:tc>
        <w:tc>
          <w:tcPr>
            <w:tcW w:type="dxa" w:w="936"/>
          </w:tcPr>
          <w:p>
            <w:pPr>
              <w:keepLines w:val="1"/>
              <w:keepNext w:val="1"/>
            </w:pPr>
            <w:r>
              <w:t>OBJ-NC: Asegurar cobertura completa de EIPDs obligatorias</w:t>
            </w:r>
          </w:p>
        </w:tc>
        <w:tc>
          <w:tcPr>
            <w:tcW w:type="dxa" w:w="936"/>
          </w:tcPr>
          <w:p>
            <w:pPr>
              <w:keepLines w:val="1"/>
              <w:keepNext w:val="1"/>
            </w:pPr>
            <w:r>
              <w:t>Art. 35 RGPD (EIPD obligatoria para alto riesgo); Listado AEPD; GT29 WP248</w:t>
            </w:r>
          </w:p>
        </w:tc>
        <w:tc>
          <w:tcPr>
            <w:tcW w:type="dxa" w:w="936"/>
          </w:tcPr>
          <w:p>
            <w:pPr>
              <w:keepLines w:val="1"/>
              <w:keepNext w:val="1"/>
            </w:pPr>
            <w:r>
              <w:t>Art. 27 AI Act (FRIA para sistemas de IA de alto riesgo)</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NC – Non-compliance</w:t>
            </w:r>
          </w:p>
        </w:tc>
        <w:tc>
          <w:tcPr>
            <w:tcW w:type="dxa" w:w="936"/>
          </w:tcPr>
          <w:p>
            <w:pPr>
              <w:keepLines w:val="1"/>
              <w:keepNext w:val="1"/>
            </w:pPr>
            <w:r>
              <w:t>ISO 29134 (EIPD)</w:t>
            </w:r>
          </w:p>
        </w:tc>
        <w:tc>
          <w:tcPr>
            <w:tcW w:type="dxa" w:w="936"/>
          </w:tcPr>
          <w:p>
            <w:pPr>
              <w:keepLines w:val="1"/>
              <w:keepNext w:val="1"/>
            </w:pPr>
            <w:r>
              <w:t>🔴 Máximo: caso AENA 10,04 M€</w:t>
            </w:r>
          </w:p>
        </w:tc>
      </w:tr>
      <w:tr>
        <w:trPr>
          <w:cantSplit w:val="1"/>
        </w:trPr>
        <w:tc>
          <w:tcPr>
            <w:tcW w:type="dxa" w:w="936"/>
          </w:tcPr>
          <w:p>
            <w:pPr>
              <w:keepLines w:val="1"/>
              <w:keepNext w:val="1"/>
            </w:pPr>
            <w:r>
              <w:t>NC-M3 Tasa brechas notificadas ≤ 72h</w:t>
            </w:r>
          </w:p>
        </w:tc>
        <w:tc>
          <w:tcPr>
            <w:tcW w:type="dxa" w:w="936"/>
          </w:tcPr>
          <w:p>
            <w:pPr>
              <w:keepLines w:val="1"/>
              <w:keepNext w:val="1"/>
            </w:pPr>
            <w:r>
              <w:t>NC – Non-compliance</w:t>
            </w:r>
          </w:p>
        </w:tc>
        <w:tc>
          <w:tcPr>
            <w:tcW w:type="dxa" w:w="936"/>
          </w:tcPr>
          <w:p>
            <w:pPr>
              <w:keepLines w:val="1"/>
              <w:keepNext w:val="1"/>
            </w:pPr>
            <w:r>
              <w:t>OBJ-NC: Medir cumplimiento del plazo legal de notificación de brechas</w:t>
            </w:r>
          </w:p>
        </w:tc>
        <w:tc>
          <w:tcPr>
            <w:tcW w:type="dxa" w:w="936"/>
          </w:tcPr>
          <w:p>
            <w:pPr>
              <w:keepLines w:val="1"/>
              <w:keepNext w:val="1"/>
            </w:pPr>
            <w:r>
              <w:t>Art. 33 RGPD (notificación a AEPD en 72h); Art. 34 (comunicación a interesados); GT29 WP250</w:t>
            </w:r>
          </w:p>
        </w:tc>
        <w:tc>
          <w:tcPr>
            <w:tcW w:type="dxa" w:w="936"/>
          </w:tcPr>
          <w:p>
            <w:pPr>
              <w:keepLines w:val="1"/>
              <w:keepNext w:val="1"/>
            </w:pPr>
            <w:r>
              <w:t>—</w:t>
            </w:r>
          </w:p>
        </w:tc>
        <w:tc>
          <w:tcPr>
            <w:tcW w:type="dxa" w:w="936"/>
          </w:tcPr>
          <w:p>
            <w:pPr>
              <w:keepLines w:val="1"/>
              <w:keepNext w:val="1"/>
            </w:pPr>
            <w:r>
              <w:t>Art. 23 NIS2 (24h alerta; 72h notificación; 1 mes informe final)</w:t>
            </w:r>
          </w:p>
        </w:tc>
        <w:tc>
          <w:tcPr>
            <w:tcW w:type="dxa" w:w="936"/>
          </w:tcPr>
          <w:p>
            <w:pPr>
              <w:keepLines w:val="1"/>
              <w:keepNext w:val="1"/>
            </w:pPr>
            <w:r>
              <w:t>ENS op.exp.7</w:t>
            </w:r>
          </w:p>
        </w:tc>
        <w:tc>
          <w:tcPr>
            <w:tcW w:type="dxa" w:w="936"/>
          </w:tcPr>
          <w:p>
            <w:pPr>
              <w:keepLines w:val="1"/>
              <w:keepNext w:val="1"/>
            </w:pPr>
            <w:r>
              <w:t>Data Breach – LIINE4DU</w:t>
            </w:r>
          </w:p>
        </w:tc>
        <w:tc>
          <w:tcPr>
            <w:tcW w:type="dxa" w:w="936"/>
          </w:tcPr>
          <w:p>
            <w:pPr>
              <w:keepLines w:val="1"/>
              <w:keepNext w:val="1"/>
            </w:pPr>
            <w:r>
              <w:t>ISO 27001 A.5.24–5.28; ISO 27035</w:t>
            </w:r>
          </w:p>
        </w:tc>
        <w:tc>
          <w:tcPr>
            <w:tcW w:type="dxa" w:w="936"/>
          </w:tcPr>
          <w:p>
            <w:pPr>
              <w:keepLines w:val="1"/>
              <w:keepNext w:val="1"/>
            </w:pPr>
            <w:r>
              <w:t>🔴 Máximo: incumplimiento plazo = infracción directa</w:t>
            </w:r>
          </w:p>
        </w:tc>
      </w:tr>
      <w:tr>
        <w:trPr>
          <w:cantSplit w:val="1"/>
        </w:trPr>
        <w:tc>
          <w:tcPr>
            <w:tcW w:type="dxa" w:w="936"/>
          </w:tcPr>
          <w:p>
            <w:pPr>
              <w:keepLines w:val="1"/>
              <w:keepNext w:val="1"/>
            </w:pPr>
            <w:r>
              <w:t>NC-M4 TMNB — Tiempo Medio Notificación Brecha</w:t>
            </w:r>
          </w:p>
        </w:tc>
        <w:tc>
          <w:tcPr>
            <w:tcW w:type="dxa" w:w="936"/>
          </w:tcPr>
          <w:p>
            <w:pPr>
              <w:keepLines w:val="1"/>
              <w:keepNext w:val="1"/>
            </w:pPr>
            <w:r>
              <w:t>NC – Non-compliance</w:t>
            </w:r>
          </w:p>
        </w:tc>
        <w:tc>
          <w:tcPr>
            <w:tcW w:type="dxa" w:w="936"/>
          </w:tcPr>
          <w:p>
            <w:pPr>
              <w:keepLines w:val="1"/>
              <w:keepNext w:val="1"/>
            </w:pPr>
            <w:r>
              <w:t>OBJ-NC: Medir eficiencia operativa de respuesta a brechas</w:t>
            </w:r>
          </w:p>
        </w:tc>
        <w:tc>
          <w:tcPr>
            <w:tcW w:type="dxa" w:w="936"/>
          </w:tcPr>
          <w:p>
            <w:pPr>
              <w:keepLines w:val="1"/>
              <w:keepNext w:val="1"/>
            </w:pPr>
            <w:r>
              <w:t>Art. 33 RGPD (plazo 72 horas contadas desde conocimiento); Art. 34</w:t>
            </w:r>
          </w:p>
        </w:tc>
        <w:tc>
          <w:tcPr>
            <w:tcW w:type="dxa" w:w="936"/>
          </w:tcPr>
          <w:p>
            <w:pPr>
              <w:keepLines w:val="1"/>
              <w:keepNext w:val="1"/>
            </w:pPr>
            <w:r>
              <w:t>—</w:t>
            </w:r>
          </w:p>
        </w:tc>
        <w:tc>
          <w:tcPr>
            <w:tcW w:type="dxa" w:w="936"/>
          </w:tcPr>
          <w:p>
            <w:pPr>
              <w:keepLines w:val="1"/>
              <w:keepNext w:val="1"/>
            </w:pPr>
            <w:r>
              <w:t>Art. 23 NIS2</w:t>
            </w:r>
          </w:p>
        </w:tc>
        <w:tc>
          <w:tcPr>
            <w:tcW w:type="dxa" w:w="936"/>
          </w:tcPr>
          <w:p>
            <w:pPr>
              <w:keepLines w:val="1"/>
              <w:keepNext w:val="1"/>
            </w:pPr>
            <w:r>
              <w:t>ENS op.exp.7</w:t>
            </w:r>
          </w:p>
        </w:tc>
        <w:tc>
          <w:tcPr>
            <w:tcW w:type="dxa" w:w="936"/>
          </w:tcPr>
          <w:p>
            <w:pPr>
              <w:keepLines w:val="1"/>
              <w:keepNext w:val="1"/>
            </w:pPr>
            <w:r>
              <w:t>Data Breach – LIINE4DU</w:t>
            </w:r>
          </w:p>
        </w:tc>
        <w:tc>
          <w:tcPr>
            <w:tcW w:type="dxa" w:w="936"/>
          </w:tcPr>
          <w:p>
            <w:pPr>
              <w:keepLines w:val="1"/>
              <w:keepNext w:val="1"/>
            </w:pPr>
            <w:r>
              <w:t>ISO 27035; NIST SP 800-61</w:t>
            </w:r>
          </w:p>
        </w:tc>
        <w:tc>
          <w:tcPr>
            <w:tcW w:type="dxa" w:w="936"/>
          </w:tcPr>
          <w:p>
            <w:pPr>
              <w:keepLines w:val="1"/>
              <w:keepNext w:val="1"/>
            </w:pPr>
            <w:r>
              <w:t>🔴 Crítico</w:t>
            </w:r>
          </w:p>
        </w:tc>
      </w:tr>
      <w:tr>
        <w:trPr>
          <w:cantSplit w:val="1"/>
        </w:trPr>
        <w:tc>
          <w:tcPr>
            <w:tcW w:type="dxa" w:w="936"/>
          </w:tcPr>
          <w:p>
            <w:pPr>
              <w:keepLines w:val="1"/>
              <w:keepNext w:val="1"/>
            </w:pPr>
            <w:r>
              <w:t>NC-M5 IPAA — Índice Preparación AI Act</w:t>
            </w:r>
          </w:p>
        </w:tc>
        <w:tc>
          <w:tcPr>
            <w:tcW w:type="dxa" w:w="936"/>
          </w:tcPr>
          <w:p>
            <w:pPr>
              <w:keepLines w:val="1"/>
              <w:keepNext w:val="1"/>
            </w:pPr>
            <w:r>
              <w:t>NC – Non-compliance</w:t>
            </w:r>
          </w:p>
        </w:tc>
        <w:tc>
          <w:tcPr>
            <w:tcW w:type="dxa" w:w="936"/>
          </w:tcPr>
          <w:p>
            <w:pPr>
              <w:keepLines w:val="1"/>
              <w:keepNext w:val="1"/>
            </w:pPr>
            <w:r>
              <w:t>OBJ-NC: Evaluar nivel de preparación para obligaciones AI Act 2025–2027</w:t>
            </w:r>
          </w:p>
        </w:tc>
        <w:tc>
          <w:tcPr>
            <w:tcW w:type="dxa" w:w="936"/>
          </w:tcPr>
          <w:p>
            <w:pPr>
              <w:keepLines w:val="1"/>
              <w:keepNext w:val="1"/>
            </w:pPr>
            <w:r>
              <w:t>Art. 24 (responsabilidad proactiva)</w:t>
            </w:r>
          </w:p>
        </w:tc>
        <w:tc>
          <w:tcPr>
            <w:tcW w:type="dxa" w:w="936"/>
          </w:tcPr>
          <w:p>
            <w:pPr>
              <w:keepLines w:val="1"/>
              <w:keepNext w:val="1"/>
            </w:pPr>
            <w:r>
              <w:t>Arts. 5, 6, 9, 10, 13, 17, 22, 27 AI Act; calendario de implementación 2024–2027</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NC – Non-compliance</w:t>
            </w:r>
          </w:p>
        </w:tc>
        <w:tc>
          <w:tcPr>
            <w:tcW w:type="dxa" w:w="936"/>
          </w:tcPr>
          <w:p>
            <w:pPr>
              <w:keepLines w:val="1"/>
              <w:keepNext w:val="1"/>
            </w:pPr>
            <w:r>
              <w:t>ISO 42001 (SGAI); NIST AI RMF 1.0</w:t>
            </w:r>
          </w:p>
        </w:tc>
        <w:tc>
          <w:tcPr>
            <w:tcW w:type="dxa" w:w="936"/>
          </w:tcPr>
          <w:p>
            <w:pPr>
              <w:keepLines w:val="1"/>
              <w:keepNext w:val="1"/>
            </w:pPr>
            <w:r>
              <w:t>🔴 Máximo: hasta 35 M€ o 7% facturación global</w:t>
            </w:r>
          </w:p>
        </w:tc>
      </w:tr>
      <w:tr>
        <w:trPr>
          <w:cantSplit w:val="1"/>
        </w:trPr>
        <w:tc>
          <w:tcPr>
            <w:tcW w:type="dxa" w:w="936"/>
          </w:tcPr>
          <w:p>
            <w:pPr>
              <w:keepLines w:val="1"/>
              <w:keepNext w:val="1"/>
            </w:pPr>
            <w:r>
              <w:t>IN-M1 Tasa registros con verificación exactitud</w:t>
            </w:r>
          </w:p>
        </w:tc>
        <w:tc>
          <w:tcPr>
            <w:tcW w:type="dxa" w:w="936"/>
          </w:tcPr>
          <w:p>
            <w:pPr>
              <w:keepLines w:val="1"/>
              <w:keepNext w:val="1"/>
            </w:pPr>
            <w:r>
              <w:t>IN – Inaccuracy</w:t>
            </w:r>
          </w:p>
        </w:tc>
        <w:tc>
          <w:tcPr>
            <w:tcW w:type="dxa" w:w="936"/>
          </w:tcPr>
          <w:p>
            <w:pPr>
              <w:keepLines w:val="1"/>
              <w:keepNext w:val="1"/>
            </w:pPr>
            <w:r>
              <w:t>OBJ-IN: Evaluar la implementación del principio de exactitud</w:t>
            </w:r>
          </w:p>
        </w:tc>
        <w:tc>
          <w:tcPr>
            <w:tcW w:type="dxa" w:w="936"/>
          </w:tcPr>
          <w:p>
            <w:pPr>
              <w:keepLines w:val="1"/>
              <w:keepNext w:val="1"/>
            </w:pPr>
            <w:r>
              <w:t>Art. 5.1.d RGPD (exactitud); Art. 16 (rectificación); Art. 5.1.f (integridad)</w:t>
            </w:r>
          </w:p>
        </w:tc>
        <w:tc>
          <w:tcPr>
            <w:tcW w:type="dxa" w:w="936"/>
          </w:tcPr>
          <w:p>
            <w:pPr>
              <w:keepLines w:val="1"/>
              <w:keepNext w:val="1"/>
            </w:pPr>
            <w:r>
              <w:t>Art. 10 AI Act (calidad y exactitud de datos de entrenamiento)</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Inaccuracy – LIINE4DU</w:t>
            </w:r>
          </w:p>
        </w:tc>
        <w:tc>
          <w:tcPr>
            <w:tcW w:type="dxa" w:w="936"/>
          </w:tcPr>
          <w:p>
            <w:pPr>
              <w:keepLines w:val="1"/>
              <w:keepNext w:val="1"/>
            </w:pPr>
            <w:r>
              <w:t>ISO 8000 (calidad del dato); ISO 27701 §7.4.1</w:t>
            </w:r>
          </w:p>
        </w:tc>
        <w:tc>
          <w:tcPr>
            <w:tcW w:type="dxa" w:w="936"/>
          </w:tcPr>
          <w:p>
            <w:pPr>
              <w:keepLines w:val="1"/>
              <w:keepNext w:val="1"/>
            </w:pPr>
            <w:r>
              <w:t>🟠 Alto</w:t>
            </w:r>
          </w:p>
        </w:tc>
      </w:tr>
      <w:tr>
        <w:trPr>
          <w:cantSplit w:val="1"/>
        </w:trPr>
        <w:tc>
          <w:tcPr>
            <w:tcW w:type="dxa" w:w="936"/>
          </w:tcPr>
          <w:p>
            <w:pPr>
              <w:keepLines w:val="1"/>
              <w:keepNext w:val="1"/>
            </w:pPr>
            <w:r>
              <w:t>IN-M2 TMRR — Tiempo Medio Resolución Rectificación</w:t>
            </w:r>
          </w:p>
        </w:tc>
        <w:tc>
          <w:tcPr>
            <w:tcW w:type="dxa" w:w="936"/>
          </w:tcPr>
          <w:p>
            <w:pPr>
              <w:keepLines w:val="1"/>
              <w:keepNext w:val="1"/>
            </w:pPr>
            <w:r>
              <w:t>IN – Inaccuracy</w:t>
            </w:r>
          </w:p>
        </w:tc>
        <w:tc>
          <w:tcPr>
            <w:tcW w:type="dxa" w:w="936"/>
          </w:tcPr>
          <w:p>
            <w:pPr>
              <w:keepLines w:val="1"/>
              <w:keepNext w:val="1"/>
            </w:pPr>
            <w:r>
              <w:t>OBJ-IN: Medir eficiencia del proceso de rectificación de datos inexactos</w:t>
            </w:r>
          </w:p>
        </w:tc>
        <w:tc>
          <w:tcPr>
            <w:tcW w:type="dxa" w:w="936"/>
          </w:tcPr>
          <w:p>
            <w:pPr>
              <w:keepLines w:val="1"/>
              <w:keepNext w:val="1"/>
            </w:pPr>
            <w:r>
              <w:t>Art. 16 RGPD (derecho a rectificación); Art. 12.3 (plazo 30 días)</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Inaccuracy – LIINE4DU; U – Unawareness</w:t>
            </w:r>
          </w:p>
        </w:tc>
        <w:tc>
          <w:tcPr>
            <w:tcW w:type="dxa" w:w="936"/>
          </w:tcPr>
          <w:p>
            <w:pPr>
              <w:keepLines w:val="1"/>
              <w:keepNext w:val="1"/>
            </w:pPr>
            <w:r>
              <w:t>ISO 27701 §7.3.4</w:t>
            </w:r>
          </w:p>
        </w:tc>
        <w:tc>
          <w:tcPr>
            <w:tcW w:type="dxa" w:w="936"/>
          </w:tcPr>
          <w:p>
            <w:pPr>
              <w:keepLines w:val="1"/>
              <w:keepNext w:val="1"/>
            </w:pPr>
            <w:r>
              <w:t>🔴 Crítico</w:t>
            </w:r>
          </w:p>
        </w:tc>
      </w:tr>
      <w:tr>
        <w:trPr>
          <w:cantSplit w:val="1"/>
        </w:trPr>
        <w:tc>
          <w:tcPr>
            <w:tcW w:type="dxa" w:w="936"/>
          </w:tcPr>
          <w:p>
            <w:pPr>
              <w:keepLines w:val="1"/>
              <w:keepNext w:val="1"/>
            </w:pPr>
            <w:r>
              <w:t>IN-M3 DIR — Disparate Impact Ratio</w:t>
            </w:r>
          </w:p>
        </w:tc>
        <w:tc>
          <w:tcPr>
            <w:tcW w:type="dxa" w:w="936"/>
          </w:tcPr>
          <w:p>
            <w:pPr>
              <w:keepLines w:val="1"/>
              <w:keepNext w:val="1"/>
            </w:pPr>
            <w:r>
              <w:t>IN – Inaccuracy</w:t>
            </w:r>
          </w:p>
        </w:tc>
        <w:tc>
          <w:tcPr>
            <w:tcW w:type="dxa" w:w="936"/>
          </w:tcPr>
          <w:p>
            <w:pPr>
              <w:keepLines w:val="1"/>
              <w:keepNext w:val="1"/>
            </w:pPr>
            <w:r>
              <w:t>OBJ-IN: Detectar y cuantificar el sesgo discriminatorio en modelos IA</w:t>
            </w:r>
          </w:p>
        </w:tc>
        <w:tc>
          <w:tcPr>
            <w:tcW w:type="dxa" w:w="936"/>
          </w:tcPr>
          <w:p>
            <w:pPr>
              <w:keepLines w:val="1"/>
              <w:keepNext w:val="1"/>
            </w:pPr>
            <w:r>
              <w:t>Art. 22 RGPD (perfilado discriminatorio); Cdo. 71</w:t>
            </w:r>
          </w:p>
        </w:tc>
        <w:tc>
          <w:tcPr>
            <w:tcW w:type="dxa" w:w="936"/>
          </w:tcPr>
          <w:p>
            <w:pPr>
              <w:keepLines w:val="1"/>
              <w:keepNext w:val="1"/>
            </w:pPr>
            <w:r>
              <w:t>Arts. 9, 10, 15 AI Act (exactitud, robustez, no discriminación en IA de alto riesgo)</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Inaccuracy – LIINE4DU</w:t>
            </w:r>
          </w:p>
        </w:tc>
        <w:tc>
          <w:tcPr>
            <w:tcW w:type="dxa" w:w="936"/>
          </w:tcPr>
          <w:p>
            <w:pPr>
              <w:keepLines w:val="1"/>
              <w:keepNext w:val="1"/>
            </w:pPr>
            <w:r>
              <w:t>ISO 42001 §9.1; IEEE 7003 (transparencia algorítmica)</w:t>
            </w:r>
          </w:p>
        </w:tc>
        <w:tc>
          <w:tcPr>
            <w:tcW w:type="dxa" w:w="936"/>
          </w:tcPr>
          <w:p>
            <w:pPr>
              <w:keepLines w:val="1"/>
              <w:keepNext w:val="1"/>
            </w:pPr>
            <w:r>
              <w:t>🔴 Crítico</w:t>
            </w:r>
          </w:p>
        </w:tc>
      </w:tr>
      <w:tr>
        <w:trPr>
          <w:cantSplit w:val="1"/>
        </w:trPr>
        <w:tc>
          <w:tcPr>
            <w:tcW w:type="dxa" w:w="936"/>
          </w:tcPr>
          <w:p>
            <w:pPr>
              <w:keepLines w:val="1"/>
              <w:keepNext w:val="1"/>
            </w:pPr>
            <w:r>
              <w:t>IN-M4 % modelos IA alto riesgo con auditoría sesgo</w:t>
            </w:r>
          </w:p>
        </w:tc>
        <w:tc>
          <w:tcPr>
            <w:tcW w:type="dxa" w:w="936"/>
          </w:tcPr>
          <w:p>
            <w:pPr>
              <w:keepLines w:val="1"/>
              <w:keepNext w:val="1"/>
            </w:pPr>
            <w:r>
              <w:t>IN – Inaccuracy</w:t>
            </w:r>
          </w:p>
        </w:tc>
        <w:tc>
          <w:tcPr>
            <w:tcW w:type="dxa" w:w="936"/>
          </w:tcPr>
          <w:p>
            <w:pPr>
              <w:keepLines w:val="1"/>
              <w:keepNext w:val="1"/>
            </w:pPr>
            <w:r>
              <w:t>OBJ-IN: Garantizar cobertura de auditorías de equidad algorítmica</w:t>
            </w:r>
          </w:p>
        </w:tc>
        <w:tc>
          <w:tcPr>
            <w:tcW w:type="dxa" w:w="936"/>
          </w:tcPr>
          <w:p>
            <w:pPr>
              <w:keepLines w:val="1"/>
              <w:keepNext w:val="1"/>
            </w:pPr>
            <w:r>
              <w:t>Art. 22 RGPD (obligación de salvaguardas ante perfilado)</w:t>
            </w:r>
          </w:p>
        </w:tc>
        <w:tc>
          <w:tcPr>
            <w:tcW w:type="dxa" w:w="936"/>
          </w:tcPr>
          <w:p>
            <w:pPr>
              <w:keepLines w:val="1"/>
              <w:keepNext w:val="1"/>
            </w:pPr>
            <w:r>
              <w:t>Arts. 9, 10, 43 AI Act (evaluación de conformidad; auditoría de terceros para sistemas de alto riesgo)</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Inaccuracy – LIINE4DU; NC – Non-compliance</w:t>
            </w:r>
          </w:p>
        </w:tc>
        <w:tc>
          <w:tcPr>
            <w:tcW w:type="dxa" w:w="936"/>
          </w:tcPr>
          <w:p>
            <w:pPr>
              <w:keepLines w:val="1"/>
              <w:keepNext w:val="1"/>
            </w:pPr>
            <w:r>
              <w:t>ISO 42001 §9.1; NIST AI RMF (GOVERN 1.7)</w:t>
            </w:r>
          </w:p>
        </w:tc>
        <w:tc>
          <w:tcPr>
            <w:tcW w:type="dxa" w:w="936"/>
          </w:tcPr>
          <w:p>
            <w:pPr>
              <w:keepLines w:val="1"/>
              <w:keepNext w:val="1"/>
            </w:pPr>
            <w:r>
              <w:t>🔴 Crítico</w:t>
            </w:r>
          </w:p>
        </w:tc>
      </w:tr>
      <w:tr>
        <w:trPr>
          <w:cantSplit w:val="1"/>
        </w:trPr>
        <w:tc>
          <w:tcPr>
            <w:tcW w:type="dxa" w:w="936"/>
          </w:tcPr>
          <w:p>
            <w:pPr>
              <w:keepLines w:val="1"/>
              <w:keepNext w:val="1"/>
            </w:pPr>
            <w:r>
              <w:t>EX-M1 Conformidad WCAG 2.1 AA</w:t>
            </w:r>
          </w:p>
        </w:tc>
        <w:tc>
          <w:tcPr>
            <w:tcW w:type="dxa" w:w="936"/>
          </w:tcPr>
          <w:p>
            <w:pPr>
              <w:keepLines w:val="1"/>
              <w:keepNext w:val="1"/>
            </w:pPr>
            <w:r>
              <w:t>EX – Exclusion</w:t>
            </w:r>
          </w:p>
        </w:tc>
        <w:tc>
          <w:tcPr>
            <w:tcW w:type="dxa" w:w="936"/>
          </w:tcPr>
          <w:p>
            <w:pPr>
              <w:keepLines w:val="1"/>
              <w:keepNext w:val="1"/>
            </w:pPr>
            <w:r>
              <w:t>OBJ-EX: Eliminar barreras de acceso a derechos para personas con diversidad funcional</w:t>
            </w:r>
          </w:p>
        </w:tc>
        <w:tc>
          <w:tcPr>
            <w:tcW w:type="dxa" w:w="936"/>
          </w:tcPr>
          <w:p>
            <w:pPr>
              <w:keepLines w:val="1"/>
              <w:keepNext w:val="1"/>
            </w:pPr>
            <w:r>
              <w:t>Art. 12.1 RGPD (comunicación accesible); Art. 5.1.a (transparencia universal)</w:t>
            </w:r>
          </w:p>
        </w:tc>
        <w:tc>
          <w:tcPr>
            <w:tcW w:type="dxa" w:w="936"/>
          </w:tcPr>
          <w:p>
            <w:pPr>
              <w:keepLines w:val="1"/>
              <w:keepNext w:val="1"/>
            </w:pPr>
            <w:r>
              <w:t>Art. 14 AI Act (supervisión humana accesible)</w:t>
            </w:r>
          </w:p>
        </w:tc>
        <w:tc>
          <w:tcPr>
            <w:tcW w:type="dxa" w:w="936"/>
          </w:tcPr>
          <w:p>
            <w:pPr>
              <w:keepLines w:val="1"/>
              <w:keepNext w:val="1"/>
            </w:pPr>
            <w:r>
              <w:t>—</w:t>
            </w:r>
          </w:p>
        </w:tc>
        <w:tc>
          <w:tcPr>
            <w:tcW w:type="dxa" w:w="936"/>
          </w:tcPr>
          <w:p>
            <w:pPr>
              <w:keepLines w:val="1"/>
              <w:keepNext w:val="1"/>
            </w:pPr>
            <w:r>
              <w:t>ENS (accesibilidad de servicios digitales)</w:t>
            </w:r>
          </w:p>
        </w:tc>
        <w:tc>
          <w:tcPr>
            <w:tcW w:type="dxa" w:w="936"/>
          </w:tcPr>
          <w:p>
            <w:pPr>
              <w:keepLines w:val="1"/>
              <w:keepNext w:val="1"/>
            </w:pPr>
            <w:r>
              <w:t>Exclusion – LIINE4DU</w:t>
            </w:r>
          </w:p>
        </w:tc>
        <w:tc>
          <w:tcPr>
            <w:tcW w:type="dxa" w:w="936"/>
          </w:tcPr>
          <w:p>
            <w:pPr>
              <w:keepLines w:val="1"/>
              <w:keepNext w:val="1"/>
            </w:pPr>
            <w:r>
              <w:t>ISO 9241-171; WCAG 2.1 AA; RD 1112/2018</w:t>
            </w:r>
          </w:p>
        </w:tc>
        <w:tc>
          <w:tcPr>
            <w:tcW w:type="dxa" w:w="936"/>
          </w:tcPr>
          <w:p>
            <w:pPr>
              <w:keepLines w:val="1"/>
              <w:keepNext w:val="1"/>
            </w:pPr>
            <w:r>
              <w:t>🟠 Alto</w:t>
            </w:r>
          </w:p>
        </w:tc>
      </w:tr>
      <w:tr>
        <w:trPr>
          <w:cantSplit w:val="1"/>
        </w:trPr>
        <w:tc>
          <w:tcPr>
            <w:tcW w:type="dxa" w:w="936"/>
          </w:tcPr>
          <w:p>
            <w:pPr>
              <w:keepLines w:val="1"/>
              <w:keepNext w:val="1"/>
            </w:pPr>
            <w:r>
              <w:t>EX-M2 Formatos accesibles disponibles</w:t>
            </w:r>
          </w:p>
        </w:tc>
        <w:tc>
          <w:tcPr>
            <w:tcW w:type="dxa" w:w="936"/>
          </w:tcPr>
          <w:p>
            <w:pPr>
              <w:keepLines w:val="1"/>
              <w:keepNext w:val="1"/>
            </w:pPr>
            <w:r>
              <w:t>EX – Exclusion</w:t>
            </w:r>
          </w:p>
        </w:tc>
        <w:tc>
          <w:tcPr>
            <w:tcW w:type="dxa" w:w="936"/>
          </w:tcPr>
          <w:p>
            <w:pPr>
              <w:keepLines w:val="1"/>
              <w:keepNext w:val="1"/>
            </w:pPr>
            <w:r>
              <w:t>OBJ-EX: Garantizar acceso a información de privacidad en múltiples formatos</w:t>
            </w:r>
          </w:p>
        </w:tc>
        <w:tc>
          <w:tcPr>
            <w:tcW w:type="dxa" w:w="936"/>
          </w:tcPr>
          <w:p>
            <w:pPr>
              <w:keepLines w:val="1"/>
              <w:keepNext w:val="1"/>
            </w:pPr>
            <w:r>
              <w:t>Art. 12 RGPD (información "concisa, transparente, inteligible"); LOPDGDD</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w:t>
            </w:r>
          </w:p>
        </w:tc>
        <w:tc>
          <w:tcPr>
            <w:tcW w:type="dxa" w:w="936"/>
          </w:tcPr>
          <w:p>
            <w:pPr>
              <w:keepLines w:val="1"/>
              <w:keepNext w:val="1"/>
            </w:pPr>
            <w:r>
              <w:t>Exclusion – LIINE4DU</w:t>
            </w:r>
          </w:p>
        </w:tc>
        <w:tc>
          <w:tcPr>
            <w:tcW w:type="dxa" w:w="936"/>
          </w:tcPr>
          <w:p>
            <w:pPr>
              <w:keepLines w:val="1"/>
              <w:keepNext w:val="1"/>
            </w:pPr>
            <w:r>
              <w:t>ISO 9241-171; Ley 11/2023 (brecha digital)</w:t>
            </w:r>
          </w:p>
        </w:tc>
        <w:tc>
          <w:tcPr>
            <w:tcW w:type="dxa" w:w="936"/>
          </w:tcPr>
          <w:p>
            <w:pPr>
              <w:keepLines w:val="1"/>
              <w:keepNext w:val="1"/>
            </w:pPr>
            <w:r>
              <w:t>🟡 Medio</w:t>
            </w:r>
          </w:p>
        </w:tc>
      </w:tr>
      <w:tr>
        <w:trPr>
          <w:cantSplit w:val="1"/>
        </w:trPr>
        <w:tc>
          <w:tcPr>
            <w:tcW w:type="dxa" w:w="936"/>
          </w:tcPr>
          <w:p>
            <w:pPr>
              <w:keepLines w:val="1"/>
            </w:pPr>
            <w:r>
              <w:t>EX-M3 Canales no digitales para ejercicio derechos</w:t>
            </w:r>
          </w:p>
        </w:tc>
        <w:tc>
          <w:tcPr>
            <w:tcW w:type="dxa" w:w="936"/>
          </w:tcPr>
          <w:p>
            <w:pPr>
              <w:keepLines w:val="1"/>
            </w:pPr>
            <w:r>
              <w:t>EX – Exclusion</w:t>
            </w:r>
          </w:p>
        </w:tc>
        <w:tc>
          <w:tcPr>
            <w:tcW w:type="dxa" w:w="936"/>
          </w:tcPr>
          <w:p>
            <w:pPr>
              <w:keepLines w:val="1"/>
            </w:pPr>
            <w:r>
              <w:t>OBJ-EX: Asegurar que el ejercicio de derechos no requiere competencia digital</w:t>
            </w:r>
          </w:p>
        </w:tc>
        <w:tc>
          <w:tcPr>
            <w:tcW w:type="dxa" w:w="936"/>
          </w:tcPr>
          <w:p>
            <w:pPr>
              <w:keepLines w:val="1"/>
            </w:pPr>
            <w:r>
              <w:t>Art. 12 RGPD (no puede exigirse canal exclusivamente digital); Art. 15–22 (derechos accesibles para todos)</w:t>
            </w:r>
          </w:p>
        </w:tc>
        <w:tc>
          <w:tcPr>
            <w:tcW w:type="dxa" w:w="936"/>
          </w:tcPr>
          <w:p>
            <w:pPr>
              <w:keepLines w:val="1"/>
            </w:pPr>
            <w:r>
              <w:t>—</w:t>
            </w:r>
          </w:p>
        </w:tc>
        <w:tc>
          <w:tcPr>
            <w:tcW w:type="dxa" w:w="936"/>
          </w:tcPr>
          <w:p>
            <w:pPr>
              <w:keepLines w:val="1"/>
            </w:pPr>
            <w:r>
              <w:t>—</w:t>
            </w:r>
          </w:p>
        </w:tc>
        <w:tc>
          <w:tcPr>
            <w:tcW w:type="dxa" w:w="936"/>
          </w:tcPr>
          <w:p>
            <w:pPr>
              <w:keepLines w:val="1"/>
            </w:pPr>
            <w:r>
              <w:t>—</w:t>
            </w:r>
          </w:p>
        </w:tc>
        <w:tc>
          <w:tcPr>
            <w:tcW w:type="dxa" w:w="936"/>
          </w:tcPr>
          <w:p>
            <w:pPr>
              <w:keepLines w:val="1"/>
            </w:pPr>
            <w:r>
              <w:t>Exclusion – LIINE4DU</w:t>
            </w:r>
          </w:p>
        </w:tc>
        <w:tc>
          <w:tcPr>
            <w:tcW w:type="dxa" w:w="936"/>
          </w:tcPr>
          <w:p>
            <w:pPr>
              <w:keepLines w:val="1"/>
            </w:pPr>
            <w:r>
              <w:t>ISO 27701 §7.3.4</w:t>
            </w:r>
          </w:p>
        </w:tc>
        <w:tc>
          <w:tcPr>
            <w:tcW w:type="dxa" w:w="936"/>
          </w:tcPr>
          <w:p>
            <w:pPr>
              <w:keepLines w:val="1"/>
            </w:pPr>
            <w:r>
              <w:t>🟡 Medio</w:t>
            </w:r>
          </w:p>
        </w:tc>
      </w:tr>
    </w:tbl>
    <w:p/>
    <w:p>
      <w:pPr>
        <w:pStyle w:val="Heading2"/>
        <w:keepNext/>
        <w:keepLines/>
      </w:pPr>
      <w:r>
        <w:rPr>
          <w:color w:val="0066CC"/>
        </w:rPr>
        <w:t>TABLA DE CONCENTRACIÓN DE RIESGO — TOP 10 MÉTRICAS POR SANCIÓN POTENCIAL</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Rango</w:t>
            </w:r>
          </w:p>
        </w:tc>
        <w:tc>
          <w:tcPr>
            <w:tcW w:type="dxa" w:w="1872"/>
            <w:shd w:fill="0033CC"/>
          </w:tcPr>
          <w:p>
            <w:pPr>
              <w:keepLines w:val="1"/>
              <w:keepNext w:val="1"/>
            </w:pPr>
            <w:r>
              <w:rPr>
                <w:b/>
                <w:color w:val="FFFFFF"/>
              </w:rPr>
              <w:t>Métrica</w:t>
            </w:r>
          </w:p>
        </w:tc>
        <w:tc>
          <w:tcPr>
            <w:tcW w:type="dxa" w:w="1872"/>
            <w:shd w:fill="0033CC"/>
          </w:tcPr>
          <w:p>
            <w:pPr>
              <w:keepLines w:val="1"/>
              <w:keepNext w:val="1"/>
            </w:pPr>
            <w:r>
              <w:rPr>
                <w:b/>
                <w:color w:val="FFFFFF"/>
              </w:rPr>
              <w:t>Normativa Principal</w:t>
            </w:r>
          </w:p>
        </w:tc>
        <w:tc>
          <w:tcPr>
            <w:tcW w:type="dxa" w:w="1872"/>
            <w:shd w:fill="0033CC"/>
          </w:tcPr>
          <w:p>
            <w:pPr>
              <w:keepLines w:val="1"/>
              <w:keepNext w:val="1"/>
            </w:pPr>
            <w:r>
              <w:rPr>
                <w:b/>
                <w:color w:val="FFFFFF"/>
              </w:rPr>
              <w:t>Sanción Máxima</w:t>
            </w:r>
          </w:p>
        </w:tc>
        <w:tc>
          <w:tcPr>
            <w:tcW w:type="dxa" w:w="1872"/>
            <w:shd w:fill="0033CC"/>
          </w:tcPr>
          <w:p>
            <w:pPr>
              <w:keepLines w:val="1"/>
              <w:keepNext w:val="1"/>
            </w:pPr>
            <w:r>
              <w:rPr>
                <w:b/>
                <w:color w:val="FFFFFF"/>
              </w:rPr>
              <w:t>Caso Referencia</w:t>
            </w:r>
          </w:p>
        </w:tc>
      </w:tr>
      <w:tr>
        <w:trPr>
          <w:cantSplit w:val="1"/>
        </w:trPr>
        <w:tc>
          <w:tcPr>
            <w:tcW w:type="dxa" w:w="1872"/>
          </w:tcPr>
          <w:p>
            <w:pPr>
              <w:keepLines w:val="1"/>
              <w:keepNext w:val="1"/>
            </w:pPr>
            <w:r>
              <w:t>1</w:t>
            </w:r>
          </w:p>
        </w:tc>
        <w:tc>
          <w:tcPr>
            <w:tcW w:type="dxa" w:w="1872"/>
          </w:tcPr>
          <w:p>
            <w:pPr>
              <w:keepLines w:val="1"/>
              <w:keepNext w:val="1"/>
            </w:pPr>
            <w:r>
              <w:t>NC-M5 (IPAA)</w:t>
            </w:r>
          </w:p>
        </w:tc>
        <w:tc>
          <w:tcPr>
            <w:tcW w:type="dxa" w:w="1872"/>
          </w:tcPr>
          <w:p>
            <w:pPr>
              <w:keepLines w:val="1"/>
              <w:keepNext w:val="1"/>
            </w:pPr>
            <w:r>
              <w:t>AI Act Arts. 5, 9, 17</w:t>
            </w:r>
          </w:p>
        </w:tc>
        <w:tc>
          <w:tcPr>
            <w:tcW w:type="dxa" w:w="1872"/>
          </w:tcPr>
          <w:p>
            <w:pPr>
              <w:keepLines w:val="1"/>
              <w:keepNext w:val="1"/>
            </w:pPr>
            <w:r>
              <w:t>35 M€ o 7% facturación</w:t>
            </w:r>
          </w:p>
        </w:tc>
        <w:tc>
          <w:tcPr>
            <w:tcW w:type="dxa" w:w="1872"/>
          </w:tcPr>
          <w:p>
            <w:pPr>
              <w:keepLines w:val="1"/>
              <w:keepNext w:val="1"/>
            </w:pPr>
            <w:r>
              <w:t>— (vigente desde 2025)</w:t>
            </w:r>
          </w:p>
        </w:tc>
      </w:tr>
      <w:tr>
        <w:trPr>
          <w:cantSplit w:val="1"/>
        </w:trPr>
        <w:tc>
          <w:tcPr>
            <w:tcW w:type="dxa" w:w="1872"/>
          </w:tcPr>
          <w:p>
            <w:pPr>
              <w:keepLines w:val="1"/>
              <w:keepNext w:val="1"/>
            </w:pPr>
            <w:r>
              <w:t>2</w:t>
            </w:r>
          </w:p>
        </w:tc>
        <w:tc>
          <w:tcPr>
            <w:tcW w:type="dxa" w:w="1872"/>
          </w:tcPr>
          <w:p>
            <w:pPr>
              <w:keepLines w:val="1"/>
              <w:keepNext w:val="1"/>
            </w:pPr>
            <w:r>
              <w:t>IN-M3 (DIR) + IN-M4</w:t>
            </w:r>
          </w:p>
        </w:tc>
        <w:tc>
          <w:tcPr>
            <w:tcW w:type="dxa" w:w="1872"/>
          </w:tcPr>
          <w:p>
            <w:pPr>
              <w:keepLines w:val="1"/>
              <w:keepNext w:val="1"/>
            </w:pPr>
            <w:r>
              <w:t>AI Act Art. 10 + RGPD Art. 22</w:t>
            </w:r>
          </w:p>
        </w:tc>
        <w:tc>
          <w:tcPr>
            <w:tcW w:type="dxa" w:w="1872"/>
          </w:tcPr>
          <w:p>
            <w:pPr>
              <w:keepLines w:val="1"/>
              <w:keepNext w:val="1"/>
            </w:pPr>
            <w:r>
              <w:t>35 M€ o 7% facturación</w:t>
            </w:r>
          </w:p>
        </w:tc>
        <w:tc>
          <w:tcPr>
            <w:tcW w:type="dxa" w:w="1872"/>
          </w:tcPr>
          <w:p>
            <w:pPr>
              <w:keepLines w:val="1"/>
              <w:keepNext w:val="1"/>
            </w:pPr>
            <w:r>
              <w:t>— (acumulación de infracciones)</w:t>
            </w:r>
          </w:p>
        </w:tc>
      </w:tr>
      <w:tr>
        <w:trPr>
          <w:cantSplit w:val="1"/>
        </w:trPr>
        <w:tc>
          <w:tcPr>
            <w:tcW w:type="dxa" w:w="1872"/>
          </w:tcPr>
          <w:p>
            <w:pPr>
              <w:keepLines w:val="1"/>
              <w:keepNext w:val="1"/>
            </w:pPr>
            <w:r>
              <w:t>3</w:t>
            </w:r>
          </w:p>
        </w:tc>
        <w:tc>
          <w:tcPr>
            <w:tcW w:type="dxa" w:w="1872"/>
          </w:tcPr>
          <w:p>
            <w:pPr>
              <w:keepLines w:val="1"/>
              <w:keepNext w:val="1"/>
            </w:pPr>
            <w:r>
              <w:t>U-M3 (consentimiento)</w:t>
            </w:r>
          </w:p>
        </w:tc>
        <w:tc>
          <w:tcPr>
            <w:tcW w:type="dxa" w:w="1872"/>
          </w:tcPr>
          <w:p>
            <w:pPr>
              <w:keepLines w:val="1"/>
              <w:keepNext w:val="1"/>
            </w:pPr>
            <w:r>
              <w:t>RGPD Arts. 6 + 7</w:t>
            </w:r>
          </w:p>
        </w:tc>
        <w:tc>
          <w:tcPr>
            <w:tcW w:type="dxa" w:w="1872"/>
          </w:tcPr>
          <w:p>
            <w:pPr>
              <w:keepLines w:val="1"/>
              <w:keepNext w:val="1"/>
            </w:pPr>
            <w:r>
              <w:t>20 M€ o 4% facturación</w:t>
            </w:r>
          </w:p>
        </w:tc>
        <w:tc>
          <w:tcPr>
            <w:tcW w:type="dxa" w:w="1872"/>
          </w:tcPr>
          <w:p>
            <w:pPr>
              <w:keepLines w:val="1"/>
              <w:keepNext w:val="1"/>
            </w:pPr>
            <w:r>
              <w:t>Meta 1.200 M€ (2023)</w:t>
            </w:r>
          </w:p>
        </w:tc>
      </w:tr>
      <w:tr>
        <w:trPr>
          <w:cantSplit w:val="1"/>
        </w:trPr>
        <w:tc>
          <w:tcPr>
            <w:tcW w:type="dxa" w:w="1872"/>
          </w:tcPr>
          <w:p>
            <w:pPr>
              <w:keepLines w:val="1"/>
              <w:keepNext w:val="1"/>
            </w:pPr>
            <w:r>
              <w:t>4</w:t>
            </w:r>
          </w:p>
        </w:tc>
        <w:tc>
          <w:tcPr>
            <w:tcW w:type="dxa" w:w="1872"/>
          </w:tcPr>
          <w:p>
            <w:pPr>
              <w:keepLines w:val="1"/>
              <w:keepNext w:val="1"/>
            </w:pPr>
            <w:r>
              <w:t>DD-M2 (transf. intern.)</w:t>
            </w:r>
          </w:p>
        </w:tc>
        <w:tc>
          <w:tcPr>
            <w:tcW w:type="dxa" w:w="1872"/>
          </w:tcPr>
          <w:p>
            <w:pPr>
              <w:keepLines w:val="1"/>
              <w:keepNext w:val="1"/>
            </w:pPr>
            <w:r>
              <w:t>RGPD Arts. 44–49</w:t>
            </w:r>
          </w:p>
        </w:tc>
        <w:tc>
          <w:tcPr>
            <w:tcW w:type="dxa" w:w="1872"/>
          </w:tcPr>
          <w:p>
            <w:pPr>
              <w:keepLines w:val="1"/>
              <w:keepNext w:val="1"/>
            </w:pPr>
            <w:r>
              <w:t>20 M€ o 4% facturación</w:t>
            </w:r>
          </w:p>
        </w:tc>
        <w:tc>
          <w:tcPr>
            <w:tcW w:type="dxa" w:w="1872"/>
          </w:tcPr>
          <w:p>
            <w:pPr>
              <w:keepLines w:val="1"/>
              <w:keepNext w:val="1"/>
            </w:pPr>
            <w:r>
              <w:t>TikTok 530 M€ (2025)</w:t>
            </w:r>
          </w:p>
        </w:tc>
      </w:tr>
      <w:tr>
        <w:trPr>
          <w:cantSplit w:val="1"/>
        </w:trPr>
        <w:tc>
          <w:tcPr>
            <w:tcW w:type="dxa" w:w="1872"/>
          </w:tcPr>
          <w:p>
            <w:pPr>
              <w:keepLines w:val="1"/>
              <w:keepNext w:val="1"/>
            </w:pPr>
            <w:r>
              <w:t>5</w:t>
            </w:r>
          </w:p>
        </w:tc>
        <w:tc>
          <w:tcPr>
            <w:tcW w:type="dxa" w:w="1872"/>
          </w:tcPr>
          <w:p>
            <w:pPr>
              <w:keepLines w:val="1"/>
              <w:keepNext w:val="1"/>
            </w:pPr>
            <w:r>
              <w:t>I-M4 (EIPD biométrica)</w:t>
            </w:r>
          </w:p>
        </w:tc>
        <w:tc>
          <w:tcPr>
            <w:tcW w:type="dxa" w:w="1872"/>
          </w:tcPr>
          <w:p>
            <w:pPr>
              <w:keepLines w:val="1"/>
              <w:keepNext w:val="1"/>
            </w:pPr>
            <w:r>
              <w:t>RGPD Art. 9 + Art. 35</w:t>
            </w:r>
          </w:p>
        </w:tc>
        <w:tc>
          <w:tcPr>
            <w:tcW w:type="dxa" w:w="1872"/>
          </w:tcPr>
          <w:p>
            <w:pPr>
              <w:keepLines w:val="1"/>
              <w:keepNext w:val="1"/>
            </w:pPr>
            <w:r>
              <w:t>20 M€ o 4% facturación</w:t>
            </w:r>
          </w:p>
        </w:tc>
        <w:tc>
          <w:tcPr>
            <w:tcW w:type="dxa" w:w="1872"/>
          </w:tcPr>
          <w:p>
            <w:pPr>
              <w:keepLines w:val="1"/>
              <w:keepNext w:val="1"/>
            </w:pPr>
            <w:r>
              <w:t>AENA 10,04 M€ (2025)</w:t>
            </w:r>
          </w:p>
        </w:tc>
      </w:tr>
      <w:tr>
        <w:trPr>
          <w:cantSplit w:val="1"/>
        </w:trPr>
        <w:tc>
          <w:tcPr>
            <w:tcW w:type="dxa" w:w="1872"/>
          </w:tcPr>
          <w:p>
            <w:pPr>
              <w:keepLines w:val="1"/>
              <w:keepNext w:val="1"/>
            </w:pPr>
            <w:r>
              <w:t>6</w:t>
            </w:r>
          </w:p>
        </w:tc>
        <w:tc>
          <w:tcPr>
            <w:tcW w:type="dxa" w:w="1872"/>
          </w:tcPr>
          <w:p>
            <w:pPr>
              <w:keepLines w:val="1"/>
              <w:keepNext w:val="1"/>
            </w:pPr>
            <w:r>
              <w:t>NC-M2 (EIPDs alto riesgo)</w:t>
            </w:r>
          </w:p>
        </w:tc>
        <w:tc>
          <w:tcPr>
            <w:tcW w:type="dxa" w:w="1872"/>
          </w:tcPr>
          <w:p>
            <w:pPr>
              <w:keepLines w:val="1"/>
              <w:keepNext w:val="1"/>
            </w:pPr>
            <w:r>
              <w:t>RGPD Art. 35</w:t>
            </w:r>
          </w:p>
        </w:tc>
        <w:tc>
          <w:tcPr>
            <w:tcW w:type="dxa" w:w="1872"/>
          </w:tcPr>
          <w:p>
            <w:pPr>
              <w:keepLines w:val="1"/>
              <w:keepNext w:val="1"/>
            </w:pPr>
            <w:r>
              <w:t>20 M€ o 4% facturación</w:t>
            </w:r>
          </w:p>
        </w:tc>
        <w:tc>
          <w:tcPr>
            <w:tcW w:type="dxa" w:w="1872"/>
          </w:tcPr>
          <w:p>
            <w:pPr>
              <w:keepLines w:val="1"/>
              <w:keepNext w:val="1"/>
            </w:pPr>
            <w:r>
              <w:t>AENA 10,04 M€ (2025)</w:t>
            </w:r>
          </w:p>
        </w:tc>
      </w:tr>
      <w:tr>
        <w:trPr>
          <w:cantSplit w:val="1"/>
        </w:trPr>
        <w:tc>
          <w:tcPr>
            <w:tcW w:type="dxa" w:w="1872"/>
          </w:tcPr>
          <w:p>
            <w:pPr>
              <w:keepLines w:val="1"/>
              <w:keepNext w:val="1"/>
            </w:pPr>
            <w:r>
              <w:t>7</w:t>
            </w:r>
          </w:p>
        </w:tc>
        <w:tc>
          <w:tcPr>
            <w:tcW w:type="dxa" w:w="1872"/>
          </w:tcPr>
          <w:p>
            <w:pPr>
              <w:keepLines w:val="1"/>
              <w:keepNext w:val="1"/>
            </w:pPr>
            <w:r>
              <w:t>U-M1 (legibilidad) + U-M2 (ARCO+)</w:t>
            </w:r>
          </w:p>
        </w:tc>
        <w:tc>
          <w:tcPr>
            <w:tcW w:type="dxa" w:w="1872"/>
          </w:tcPr>
          <w:p>
            <w:pPr>
              <w:keepLines w:val="1"/>
              <w:keepNext w:val="1"/>
            </w:pPr>
            <w:r>
              <w:t>RGPD Arts. 12–14</w:t>
            </w:r>
          </w:p>
        </w:tc>
        <w:tc>
          <w:tcPr>
            <w:tcW w:type="dxa" w:w="1872"/>
          </w:tcPr>
          <w:p>
            <w:pPr>
              <w:keepLines w:val="1"/>
              <w:keepNext w:val="1"/>
            </w:pPr>
            <w:r>
              <w:t>20 M€ o 4% facturación</w:t>
            </w:r>
          </w:p>
        </w:tc>
        <w:tc>
          <w:tcPr>
            <w:tcW w:type="dxa" w:w="1872"/>
          </w:tcPr>
          <w:p>
            <w:pPr>
              <w:keepLines w:val="1"/>
              <w:keepNext w:val="1"/>
            </w:pPr>
            <w:r>
              <w:t>Actividad AEPD 2024–2025</w:t>
            </w:r>
          </w:p>
        </w:tc>
      </w:tr>
      <w:tr>
        <w:trPr>
          <w:cantSplit w:val="1"/>
        </w:trPr>
        <w:tc>
          <w:tcPr>
            <w:tcW w:type="dxa" w:w="1872"/>
          </w:tcPr>
          <w:p>
            <w:pPr>
              <w:keepLines w:val="1"/>
              <w:keepNext w:val="1"/>
            </w:pPr>
            <w:r>
              <w:t>8</w:t>
            </w:r>
          </w:p>
        </w:tc>
        <w:tc>
          <w:tcPr>
            <w:tcW w:type="dxa" w:w="1872"/>
          </w:tcPr>
          <w:p>
            <w:pPr>
              <w:keepLines w:val="1"/>
              <w:keepNext w:val="1"/>
            </w:pPr>
            <w:r>
              <w:t>NC-M3 + NC-M4 (notificación brechas)</w:t>
            </w:r>
          </w:p>
        </w:tc>
        <w:tc>
          <w:tcPr>
            <w:tcW w:type="dxa" w:w="1872"/>
          </w:tcPr>
          <w:p>
            <w:pPr>
              <w:keepLines w:val="1"/>
              <w:keepNext w:val="1"/>
            </w:pPr>
            <w:r>
              <w:t>RGPD Art. 33 + NIS2 Art. 23</w:t>
            </w:r>
          </w:p>
        </w:tc>
        <w:tc>
          <w:tcPr>
            <w:tcW w:type="dxa" w:w="1872"/>
          </w:tcPr>
          <w:p>
            <w:pPr>
              <w:keepLines w:val="1"/>
              <w:keepNext w:val="1"/>
            </w:pPr>
            <w:r>
              <w:t>10 M€ o 2% facturación</w:t>
            </w:r>
          </w:p>
        </w:tc>
        <w:tc>
          <w:tcPr>
            <w:tcW w:type="dxa" w:w="1872"/>
          </w:tcPr>
          <w:p>
            <w:pPr>
              <w:keepLines w:val="1"/>
              <w:keepNext w:val="1"/>
            </w:pPr>
            <w:r>
              <w:t>Múltiples casos AEPD 2024</w:t>
            </w:r>
          </w:p>
        </w:tc>
      </w:tr>
      <w:tr>
        <w:trPr>
          <w:cantSplit w:val="1"/>
        </w:trPr>
        <w:tc>
          <w:tcPr>
            <w:tcW w:type="dxa" w:w="1872"/>
          </w:tcPr>
          <w:p>
            <w:pPr>
              <w:keepLines w:val="1"/>
              <w:keepNext w:val="1"/>
            </w:pPr>
            <w:r>
              <w:t>9</w:t>
            </w:r>
          </w:p>
        </w:tc>
        <w:tc>
          <w:tcPr>
            <w:tcW w:type="dxa" w:w="1872"/>
          </w:tcPr>
          <w:p>
            <w:pPr>
              <w:keepLines w:val="1"/>
              <w:keepNext w:val="1"/>
            </w:pPr>
            <w:r>
              <w:t>DD-M1 (DPAs encargados)</w:t>
            </w:r>
          </w:p>
        </w:tc>
        <w:tc>
          <w:tcPr>
            <w:tcW w:type="dxa" w:w="1872"/>
          </w:tcPr>
          <w:p>
            <w:pPr>
              <w:keepLines w:val="1"/>
              <w:keepNext w:val="1"/>
            </w:pPr>
            <w:r>
              <w:t>RGPD Art. 28</w:t>
            </w:r>
          </w:p>
        </w:tc>
        <w:tc>
          <w:tcPr>
            <w:tcW w:type="dxa" w:w="1872"/>
          </w:tcPr>
          <w:p>
            <w:pPr>
              <w:keepLines w:val="1"/>
              <w:keepNext w:val="1"/>
            </w:pPr>
            <w:r>
              <w:t>10 M€ o 2% facturación</w:t>
            </w:r>
          </w:p>
        </w:tc>
        <w:tc>
          <w:tcPr>
            <w:tcW w:type="dxa" w:w="1872"/>
          </w:tcPr>
          <w:p>
            <w:pPr>
              <w:keepLines w:val="1"/>
              <w:keepNext w:val="1"/>
            </w:pPr>
            <w:r>
              <w:t>Actividad AEPD 2023–2025</w:t>
            </w:r>
          </w:p>
        </w:tc>
      </w:tr>
      <w:tr>
        <w:trPr>
          <w:cantSplit w:val="1"/>
        </w:trPr>
        <w:tc>
          <w:tcPr>
            <w:tcW w:type="dxa" w:w="1872"/>
          </w:tcPr>
          <w:p>
            <w:pPr>
              <w:keepLines w:val="1"/>
            </w:pPr>
            <w:r>
              <w:t>10</w:t>
            </w:r>
          </w:p>
        </w:tc>
        <w:tc>
          <w:tcPr>
            <w:tcW w:type="dxa" w:w="1872"/>
          </w:tcPr>
          <w:p>
            <w:pPr>
              <w:keepLines w:val="1"/>
            </w:pPr>
            <w:r>
              <w:t>D-M1 + D-M2 (videovigilancia)</w:t>
            </w:r>
          </w:p>
        </w:tc>
        <w:tc>
          <w:tcPr>
            <w:tcW w:type="dxa" w:w="1872"/>
          </w:tcPr>
          <w:p>
            <w:pPr>
              <w:keepLines w:val="1"/>
            </w:pPr>
            <w:r>
              <w:t>LOPDGDD Art. 22</w:t>
            </w:r>
          </w:p>
        </w:tc>
        <w:tc>
          <w:tcPr>
            <w:tcW w:type="dxa" w:w="1872"/>
          </w:tcPr>
          <w:p>
            <w:pPr>
              <w:keepLines w:val="1"/>
            </w:pPr>
            <w:r>
              <w:t>Hasta 20 M€ si incluye biometría</w:t>
            </w:r>
          </w:p>
        </w:tc>
        <w:tc>
          <w:tcPr>
            <w:tcW w:type="dxa" w:w="1872"/>
          </w:tcPr>
          <w:p>
            <w:pPr>
              <w:keepLines w:val="1"/>
            </w:pPr>
            <w:r>
              <w:t>Actividad AEPD (videovigilancia: caso más frecuente)</w:t>
            </w:r>
          </w:p>
        </w:tc>
      </w:tr>
    </w:tbl>
    <w:p/>
    <w:p>
      <w:pPr>
        <w:pStyle w:val="Heading2"/>
        <w:keepNext/>
        <w:keepLines/>
      </w:pPr>
      <w:r>
        <w:rPr>
          <w:color w:val="0066CC"/>
        </w:rPr>
        <w:t>COBERTURA NORMATIVA POR INDICADOR LINDDUN</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rPr>
          <w:cantSplit w:val="1"/>
        </w:trPr>
        <w:tc>
          <w:tcPr>
            <w:tcW w:type="dxa" w:w="1560"/>
            <w:shd w:fill="0033CC"/>
          </w:tcPr>
          <w:p>
            <w:pPr>
              <w:keepLines w:val="1"/>
              <w:keepNext w:val="1"/>
            </w:pPr>
            <w:r>
              <w:rPr>
                <w:b/>
                <w:color w:val="FFFFFF"/>
              </w:rPr>
              <w:t>Indicador</w:t>
            </w:r>
          </w:p>
        </w:tc>
        <w:tc>
          <w:tcPr>
            <w:tcW w:type="dxa" w:w="1560"/>
            <w:shd w:fill="0033CC"/>
          </w:tcPr>
          <w:p>
            <w:pPr>
              <w:keepLines w:val="1"/>
              <w:keepNext w:val="1"/>
            </w:pPr>
            <w:r>
              <w:rPr>
                <w:b/>
                <w:color w:val="FFFFFF"/>
              </w:rPr>
              <w:t>RGPD (arts.)</w:t>
            </w:r>
          </w:p>
        </w:tc>
        <w:tc>
          <w:tcPr>
            <w:tcW w:type="dxa" w:w="1560"/>
            <w:shd w:fill="0033CC"/>
          </w:tcPr>
          <w:p>
            <w:pPr>
              <w:keepLines w:val="1"/>
              <w:keepNext w:val="1"/>
            </w:pPr>
            <w:r>
              <w:rPr>
                <w:b/>
                <w:color w:val="FFFFFF"/>
              </w:rPr>
              <w:t>AI Act (arts.)</w:t>
            </w:r>
          </w:p>
        </w:tc>
        <w:tc>
          <w:tcPr>
            <w:tcW w:type="dxa" w:w="1560"/>
            <w:shd w:fill="0033CC"/>
          </w:tcPr>
          <w:p>
            <w:pPr>
              <w:keepLines w:val="1"/>
              <w:keepNext w:val="1"/>
            </w:pPr>
            <w:r>
              <w:rPr>
                <w:b/>
                <w:color w:val="FFFFFF"/>
              </w:rPr>
              <w:t>NIS2 (arts.)</w:t>
            </w:r>
          </w:p>
        </w:tc>
        <w:tc>
          <w:tcPr>
            <w:tcW w:type="dxa" w:w="1560"/>
            <w:shd w:fill="0033CC"/>
          </w:tcPr>
          <w:p>
            <w:pPr>
              <w:keepLines w:val="1"/>
              <w:keepNext w:val="1"/>
            </w:pPr>
            <w:r>
              <w:rPr>
                <w:b/>
                <w:color w:val="FFFFFF"/>
              </w:rPr>
              <w:t>ENS</w:t>
            </w:r>
          </w:p>
        </w:tc>
        <w:tc>
          <w:tcPr>
            <w:tcW w:type="dxa" w:w="1560"/>
            <w:shd w:fill="0033CC"/>
          </w:tcPr>
          <w:p>
            <w:pPr>
              <w:keepLines w:val="1"/>
              <w:keepNext w:val="1"/>
            </w:pPr>
            <w:r>
              <w:rPr>
                <w:b/>
                <w:color w:val="FFFFFF"/>
              </w:rPr>
              <w:t>ISO</w:t>
            </w:r>
          </w:p>
        </w:tc>
      </w:tr>
      <w:tr>
        <w:trPr>
          <w:cantSplit w:val="1"/>
        </w:trPr>
        <w:tc>
          <w:tcPr>
            <w:tcW w:type="dxa" w:w="1560"/>
          </w:tcPr>
          <w:p>
            <w:pPr>
              <w:keepLines w:val="1"/>
              <w:keepNext w:val="1"/>
            </w:pPr>
            <w:r>
              <w:t>L – Linking</w:t>
            </w:r>
          </w:p>
        </w:tc>
        <w:tc>
          <w:tcPr>
            <w:tcW w:type="dxa" w:w="1560"/>
          </w:tcPr>
          <w:p>
            <w:pPr>
              <w:keepLines w:val="1"/>
              <w:keepNext w:val="1"/>
            </w:pPr>
            <w:r>
              <w:t>5.1.c, 25, 30, 32, 35</w:t>
            </w:r>
          </w:p>
        </w:tc>
        <w:tc>
          <w:tcPr>
            <w:tcW w:type="dxa" w:w="1560"/>
          </w:tcPr>
          <w:p>
            <w:pPr>
              <w:keepLines w:val="1"/>
              <w:keepNext w:val="1"/>
            </w:pPr>
            <w:r>
              <w:t>Annex IV; 9.2; 10</w:t>
            </w:r>
          </w:p>
        </w:tc>
        <w:tc>
          <w:tcPr>
            <w:tcW w:type="dxa" w:w="1560"/>
          </w:tcPr>
          <w:p>
            <w:pPr>
              <w:keepLines w:val="1"/>
              <w:keepNext w:val="1"/>
            </w:pPr>
            <w:r>
              <w:t>21.2</w:t>
            </w:r>
          </w:p>
        </w:tc>
        <w:tc>
          <w:tcPr>
            <w:tcW w:type="dxa" w:w="1560"/>
          </w:tcPr>
          <w:p>
            <w:pPr>
              <w:keepLines w:val="1"/>
              <w:keepNext w:val="1"/>
            </w:pPr>
            <w:r>
              <w:t>op.pl.1; mp.si.2</w:t>
            </w:r>
          </w:p>
        </w:tc>
        <w:tc>
          <w:tcPr>
            <w:tcW w:type="dxa" w:w="1560"/>
          </w:tcPr>
          <w:p>
            <w:pPr>
              <w:keepLines w:val="1"/>
              <w:keepNext w:val="1"/>
            </w:pPr>
            <w:r>
              <w:t>27001 A.8.11; 27701 §7.2.1; 29101</w:t>
            </w:r>
          </w:p>
        </w:tc>
      </w:tr>
      <w:tr>
        <w:trPr>
          <w:cantSplit w:val="1"/>
        </w:trPr>
        <w:tc>
          <w:tcPr>
            <w:tcW w:type="dxa" w:w="1560"/>
          </w:tcPr>
          <w:p>
            <w:pPr>
              <w:keepLines w:val="1"/>
              <w:keepNext w:val="1"/>
            </w:pPr>
            <w:r>
              <w:t>I – Identifying</w:t>
            </w:r>
          </w:p>
        </w:tc>
        <w:tc>
          <w:tcPr>
            <w:tcW w:type="dxa" w:w="1560"/>
          </w:tcPr>
          <w:p>
            <w:pPr>
              <w:keepLines w:val="1"/>
              <w:keepNext w:val="1"/>
            </w:pPr>
            <w:r>
              <w:t>4.1, 4.5, 5.1.e, 9, 25, 32, 35</w:t>
            </w:r>
          </w:p>
        </w:tc>
        <w:tc>
          <w:tcPr>
            <w:tcW w:type="dxa" w:w="1560"/>
          </w:tcPr>
          <w:p>
            <w:pPr>
              <w:keepLines w:val="1"/>
              <w:keepNext w:val="1"/>
            </w:pPr>
            <w:r>
              <w:t>5.1.d, e; 10.3</w:t>
            </w:r>
          </w:p>
        </w:tc>
        <w:tc>
          <w:tcPr>
            <w:tcW w:type="dxa" w:w="1560"/>
          </w:tcPr>
          <w:p>
            <w:pPr>
              <w:keepLines w:val="1"/>
              <w:keepNext w:val="1"/>
            </w:pPr>
            <w:r>
              <w:t>—</w:t>
            </w:r>
          </w:p>
        </w:tc>
        <w:tc>
          <w:tcPr>
            <w:tcW w:type="dxa" w:w="1560"/>
          </w:tcPr>
          <w:p>
            <w:pPr>
              <w:keepLines w:val="1"/>
              <w:keepNext w:val="1"/>
            </w:pPr>
            <w:r>
              <w:t>(datos cat. alta)</w:t>
            </w:r>
          </w:p>
        </w:tc>
        <w:tc>
          <w:tcPr>
            <w:tcW w:type="dxa" w:w="1560"/>
          </w:tcPr>
          <w:p>
            <w:pPr>
              <w:keepLines w:val="1"/>
              <w:keepNext w:val="1"/>
            </w:pPr>
            <w:r>
              <w:t>19795; 20889; 27701 §7.2.3; 29101</w:t>
            </w:r>
          </w:p>
        </w:tc>
      </w:tr>
      <w:tr>
        <w:trPr>
          <w:cantSplit w:val="1"/>
        </w:trPr>
        <w:tc>
          <w:tcPr>
            <w:tcW w:type="dxa" w:w="1560"/>
          </w:tcPr>
          <w:p>
            <w:pPr>
              <w:keepLines w:val="1"/>
              <w:keepNext w:val="1"/>
            </w:pPr>
            <w:r>
              <w:t>NR – Non-repudiation</w:t>
            </w:r>
          </w:p>
        </w:tc>
        <w:tc>
          <w:tcPr>
            <w:tcW w:type="dxa" w:w="1560"/>
          </w:tcPr>
          <w:p>
            <w:pPr>
              <w:keepLines w:val="1"/>
              <w:keepNext w:val="1"/>
            </w:pPr>
            <w:r>
              <w:t>5.1.e, 5.2, 7, 12.3, 17, 19, 30, 32</w:t>
            </w:r>
          </w:p>
        </w:tc>
        <w:tc>
          <w:tcPr>
            <w:tcW w:type="dxa" w:w="1560"/>
          </w:tcPr>
          <w:p>
            <w:pPr>
              <w:keepLines w:val="1"/>
              <w:keepNext w:val="1"/>
            </w:pPr>
            <w:r>
              <w:t>13; 52</w:t>
            </w:r>
          </w:p>
        </w:tc>
        <w:tc>
          <w:tcPr>
            <w:tcW w:type="dxa" w:w="1560"/>
          </w:tcPr>
          <w:p>
            <w:pPr>
              <w:keepLines w:val="1"/>
              <w:keepNext w:val="1"/>
            </w:pPr>
            <w:r>
              <w:t>21.2</w:t>
            </w:r>
          </w:p>
        </w:tc>
        <w:tc>
          <w:tcPr>
            <w:tcW w:type="dxa" w:w="1560"/>
          </w:tcPr>
          <w:p>
            <w:pPr>
              <w:keepLines w:val="1"/>
              <w:keepNext w:val="1"/>
            </w:pPr>
            <w:r>
              <w:t>op.exp.8; op.exp.10; mp.si.3</w:t>
            </w:r>
          </w:p>
        </w:tc>
        <w:tc>
          <w:tcPr>
            <w:tcW w:type="dxa" w:w="1560"/>
          </w:tcPr>
          <w:p>
            <w:pPr>
              <w:keepLines w:val="1"/>
              <w:keepNext w:val="1"/>
            </w:pPr>
            <w:r>
              <w:t>27001 A.8.15; 27701 §8.4.2; ETSI EN 319</w:t>
            </w:r>
          </w:p>
        </w:tc>
      </w:tr>
      <w:tr>
        <w:trPr>
          <w:cantSplit w:val="1"/>
        </w:trPr>
        <w:tc>
          <w:tcPr>
            <w:tcW w:type="dxa" w:w="1560"/>
          </w:tcPr>
          <w:p>
            <w:pPr>
              <w:keepLines w:val="1"/>
              <w:keepNext w:val="1"/>
            </w:pPr>
            <w:r>
              <w:t>D – Detecting</w:t>
            </w:r>
          </w:p>
        </w:tc>
        <w:tc>
          <w:tcPr>
            <w:tcW w:type="dxa" w:w="1560"/>
          </w:tcPr>
          <w:p>
            <w:pPr>
              <w:keepLines w:val="1"/>
              <w:keepNext w:val="1"/>
            </w:pPr>
            <w:r>
              <w:t>5.1.b, 5.1.c, 9, 13, 25, 32, 35</w:t>
            </w:r>
          </w:p>
        </w:tc>
        <w:tc>
          <w:tcPr>
            <w:tcW w:type="dxa" w:w="1560"/>
          </w:tcPr>
          <w:p>
            <w:pPr>
              <w:keepLines w:val="1"/>
              <w:keepNext w:val="1"/>
            </w:pPr>
            <w:r>
              <w:t>5.1.d, e; 6; 9.2</w:t>
            </w:r>
          </w:p>
        </w:tc>
        <w:tc>
          <w:tcPr>
            <w:tcW w:type="dxa" w:w="1560"/>
          </w:tcPr>
          <w:p>
            <w:pPr>
              <w:keepLines w:val="1"/>
              <w:keepNext w:val="1"/>
            </w:pPr>
            <w:r>
              <w:t>21.2</w:t>
            </w:r>
          </w:p>
        </w:tc>
        <w:tc>
          <w:tcPr>
            <w:tcW w:type="dxa" w:w="1560"/>
          </w:tcPr>
          <w:p>
            <w:pPr>
              <w:keepLines w:val="1"/>
              <w:keepNext w:val="1"/>
            </w:pPr>
            <w:r>
              <w:t>op.exp.9</w:t>
            </w:r>
          </w:p>
        </w:tc>
        <w:tc>
          <w:tcPr>
            <w:tcW w:type="dxa" w:w="1560"/>
          </w:tcPr>
          <w:p>
            <w:pPr>
              <w:keepLines w:val="1"/>
              <w:keepNext w:val="1"/>
            </w:pPr>
            <w:r>
              <w:t>19795; 27701 §7.2.3; ETSI EN 303 645</w:t>
            </w:r>
          </w:p>
        </w:tc>
      </w:tr>
      <w:tr>
        <w:trPr>
          <w:cantSplit w:val="1"/>
        </w:trPr>
        <w:tc>
          <w:tcPr>
            <w:tcW w:type="dxa" w:w="1560"/>
          </w:tcPr>
          <w:p>
            <w:pPr>
              <w:keepLines w:val="1"/>
              <w:keepNext w:val="1"/>
            </w:pPr>
            <w:r>
              <w:t>DD – Data Disclosure</w:t>
            </w:r>
          </w:p>
        </w:tc>
        <w:tc>
          <w:tcPr>
            <w:tcW w:type="dxa" w:w="1560"/>
          </w:tcPr>
          <w:p>
            <w:pPr>
              <w:keepLines w:val="1"/>
              <w:keepNext w:val="1"/>
            </w:pPr>
            <w:r>
              <w:t>5.1.b, 5.1.c, 5.1.e, 6, 17, 25.2, 28, 29, 32, 35, 44–49</w:t>
            </w:r>
          </w:p>
        </w:tc>
        <w:tc>
          <w:tcPr>
            <w:tcW w:type="dxa" w:w="1560"/>
          </w:tcPr>
          <w:p>
            <w:pPr>
              <w:keepLines w:val="1"/>
              <w:keepNext w:val="1"/>
            </w:pPr>
            <w:r>
              <w:t>10; 13; 27; 28; 53</w:t>
            </w:r>
          </w:p>
        </w:tc>
        <w:tc>
          <w:tcPr>
            <w:tcW w:type="dxa" w:w="1560"/>
          </w:tcPr>
          <w:p>
            <w:pPr>
              <w:keepLines w:val="1"/>
              <w:keepNext w:val="1"/>
            </w:pPr>
            <w:r>
              <w:t>21.2; 21.5</w:t>
            </w:r>
          </w:p>
        </w:tc>
        <w:tc>
          <w:tcPr>
            <w:tcW w:type="dxa" w:w="1560"/>
          </w:tcPr>
          <w:p>
            <w:pPr>
              <w:keepLines w:val="1"/>
              <w:keepNext w:val="1"/>
            </w:pPr>
            <w:r>
              <w:t>(subcontratación)</w:t>
            </w:r>
          </w:p>
        </w:tc>
        <w:tc>
          <w:tcPr>
            <w:tcW w:type="dxa" w:w="1560"/>
          </w:tcPr>
          <w:p>
            <w:pPr>
              <w:keepLines w:val="1"/>
              <w:keepNext w:val="1"/>
            </w:pPr>
            <w:r>
              <w:t>27001 A.5.19–5.22; 27701 §6.12, §8.5; 29101 §8.3</w:t>
            </w:r>
          </w:p>
        </w:tc>
      </w:tr>
      <w:tr>
        <w:trPr>
          <w:cantSplit w:val="1"/>
        </w:trPr>
        <w:tc>
          <w:tcPr>
            <w:tcW w:type="dxa" w:w="1560"/>
          </w:tcPr>
          <w:p>
            <w:pPr>
              <w:keepLines w:val="1"/>
              <w:keepNext w:val="1"/>
            </w:pPr>
            <w:r>
              <w:t>U – Unawareness</w:t>
            </w:r>
          </w:p>
        </w:tc>
        <w:tc>
          <w:tcPr>
            <w:tcW w:type="dxa" w:w="1560"/>
          </w:tcPr>
          <w:p>
            <w:pPr>
              <w:keepLines w:val="1"/>
              <w:keepNext w:val="1"/>
            </w:pPr>
            <w:r>
              <w:t>5.1.a, 6, 7, 12–22, 22, 39.1.b</w:t>
            </w:r>
          </w:p>
        </w:tc>
        <w:tc>
          <w:tcPr>
            <w:tcW w:type="dxa" w:w="1560"/>
          </w:tcPr>
          <w:p>
            <w:pPr>
              <w:keepLines w:val="1"/>
              <w:keepNext w:val="1"/>
            </w:pPr>
            <w:r>
              <w:t>4.2; 13; 14; 52; 86</w:t>
            </w:r>
          </w:p>
        </w:tc>
        <w:tc>
          <w:tcPr>
            <w:tcW w:type="dxa" w:w="1560"/>
          </w:tcPr>
          <w:p>
            <w:pPr>
              <w:keepLines w:val="1"/>
              <w:keepNext w:val="1"/>
            </w:pPr>
            <w:r>
              <w:t>20</w:t>
            </w:r>
          </w:p>
        </w:tc>
        <w:tc>
          <w:tcPr>
            <w:tcW w:type="dxa" w:w="1560"/>
          </w:tcPr>
          <w:p>
            <w:pPr>
              <w:keepLines w:val="1"/>
              <w:keepNext w:val="1"/>
            </w:pPr>
            <w:r>
              <w:t>mp.per.2</w:t>
            </w:r>
          </w:p>
        </w:tc>
        <w:tc>
          <w:tcPr>
            <w:tcW w:type="dxa" w:w="1560"/>
          </w:tcPr>
          <w:p>
            <w:pPr>
              <w:keepLines w:val="1"/>
              <w:keepNext w:val="1"/>
            </w:pPr>
            <w:r>
              <w:t>27001 A.6.3; 27701 §7.3.2–7.3.5</w:t>
            </w:r>
          </w:p>
        </w:tc>
      </w:tr>
      <w:tr>
        <w:trPr>
          <w:cantSplit w:val="1"/>
        </w:trPr>
        <w:tc>
          <w:tcPr>
            <w:tcW w:type="dxa" w:w="1560"/>
          </w:tcPr>
          <w:p>
            <w:pPr>
              <w:keepLines w:val="1"/>
              <w:keepNext w:val="1"/>
            </w:pPr>
            <w:r>
              <w:t>NC – Non-compliance</w:t>
            </w:r>
          </w:p>
        </w:tc>
        <w:tc>
          <w:tcPr>
            <w:tcW w:type="dxa" w:w="1560"/>
          </w:tcPr>
          <w:p>
            <w:pPr>
              <w:keepLines w:val="1"/>
              <w:keepNext w:val="1"/>
            </w:pPr>
            <w:r>
              <w:t>5.2, 24, 32–35, 37–39</w:t>
            </w:r>
          </w:p>
        </w:tc>
        <w:tc>
          <w:tcPr>
            <w:tcW w:type="dxa" w:w="1560"/>
          </w:tcPr>
          <w:p>
            <w:pPr>
              <w:keepLines w:val="1"/>
              <w:keepNext w:val="1"/>
            </w:pPr>
            <w:r>
              <w:t>5; 6; 9; 10; 13; 17; 22; 27; 43</w:t>
            </w:r>
          </w:p>
        </w:tc>
        <w:tc>
          <w:tcPr>
            <w:tcW w:type="dxa" w:w="1560"/>
          </w:tcPr>
          <w:p>
            <w:pPr>
              <w:keepLines w:val="1"/>
              <w:keepNext w:val="1"/>
            </w:pPr>
            <w:r>
              <w:t>20; 21; 23; 32</w:t>
            </w:r>
          </w:p>
        </w:tc>
        <w:tc>
          <w:tcPr>
            <w:tcW w:type="dxa" w:w="1560"/>
          </w:tcPr>
          <w:p>
            <w:pPr>
              <w:keepLines w:val="1"/>
              <w:keepNext w:val="1"/>
            </w:pPr>
            <w:r>
              <w:t>op.pl.1; op.exp.7</w:t>
            </w:r>
          </w:p>
        </w:tc>
        <w:tc>
          <w:tcPr>
            <w:tcW w:type="dxa" w:w="1560"/>
          </w:tcPr>
          <w:p>
            <w:pPr>
              <w:keepLines w:val="1"/>
              <w:keepNext w:val="1"/>
            </w:pPr>
            <w:r>
              <w:t>27001 §6.1.2; 27035; 29134; 42001</w:t>
            </w:r>
          </w:p>
        </w:tc>
      </w:tr>
      <w:tr>
        <w:trPr>
          <w:cantSplit w:val="1"/>
        </w:trPr>
        <w:tc>
          <w:tcPr>
            <w:tcW w:type="dxa" w:w="1560"/>
          </w:tcPr>
          <w:p>
            <w:pPr>
              <w:keepLines w:val="1"/>
              <w:keepNext w:val="1"/>
            </w:pPr>
            <w:r>
              <w:t>IN – Inaccuracy</w:t>
            </w:r>
          </w:p>
        </w:tc>
        <w:tc>
          <w:tcPr>
            <w:tcW w:type="dxa" w:w="1560"/>
          </w:tcPr>
          <w:p>
            <w:pPr>
              <w:keepLines w:val="1"/>
              <w:keepNext w:val="1"/>
            </w:pPr>
            <w:r>
              <w:t>5.1.d, 5.1.f, 16, 22</w:t>
            </w:r>
          </w:p>
        </w:tc>
        <w:tc>
          <w:tcPr>
            <w:tcW w:type="dxa" w:w="1560"/>
          </w:tcPr>
          <w:p>
            <w:pPr>
              <w:keepLines w:val="1"/>
              <w:keepNext w:val="1"/>
            </w:pPr>
            <w:r>
              <w:t>9; 10; 15; 43</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8000; 42001 §9.1; IEEE 7003</w:t>
            </w:r>
          </w:p>
        </w:tc>
      </w:tr>
      <w:tr>
        <w:trPr>
          <w:cantSplit w:val="1"/>
        </w:trPr>
        <w:tc>
          <w:tcPr>
            <w:tcW w:type="dxa" w:w="1560"/>
          </w:tcPr>
          <w:p>
            <w:pPr>
              <w:keepLines w:val="1"/>
            </w:pPr>
            <w:r>
              <w:t>EX – Exclusion</w:t>
            </w:r>
          </w:p>
        </w:tc>
        <w:tc>
          <w:tcPr>
            <w:tcW w:type="dxa" w:w="1560"/>
          </w:tcPr>
          <w:p>
            <w:pPr>
              <w:keepLines w:val="1"/>
            </w:pPr>
            <w:r>
              <w:t>5.1.a, 12, 15–22</w:t>
            </w:r>
          </w:p>
        </w:tc>
        <w:tc>
          <w:tcPr>
            <w:tcW w:type="dxa" w:w="1560"/>
          </w:tcPr>
          <w:p>
            <w:pPr>
              <w:keepLines w:val="1"/>
            </w:pPr>
            <w:r>
              <w:t>14</w:t>
            </w:r>
          </w:p>
        </w:tc>
        <w:tc>
          <w:tcPr>
            <w:tcW w:type="dxa" w:w="1560"/>
          </w:tcPr>
          <w:p>
            <w:pPr>
              <w:keepLines w:val="1"/>
            </w:pPr>
            <w:r>
              <w:t>—</w:t>
            </w:r>
          </w:p>
        </w:tc>
        <w:tc>
          <w:tcPr>
            <w:tcW w:type="dxa" w:w="1560"/>
          </w:tcPr>
          <w:p>
            <w:pPr>
              <w:keepLines w:val="1"/>
            </w:pPr>
            <w:r>
              <w:t>(accesibilidad)</w:t>
            </w:r>
          </w:p>
        </w:tc>
        <w:tc>
          <w:tcPr>
            <w:tcW w:type="dxa" w:w="1560"/>
          </w:tcPr>
          <w:p>
            <w:pPr>
              <w:keepLines w:val="1"/>
            </w:pPr>
            <w:r>
              <w:t>9241-171; WCAG 2.1 AA; RD 1112/2018</w:t>
            </w:r>
          </w:p>
        </w:tc>
      </w:tr>
    </w:tbl>
    <w:p/>
    <w:p>
      <w:r>
        <w:rPr>
          <w:i/>
        </w:rPr>
        <w:t>Mapeo normativo elaborado conforme al estado del Derecho europeo y español en abril de 2026. AI Act: Reglamento (UE) 2024/1689, prohibiciones vigentes desde feb. 2025; obligaciones alto riesgo desde ago. 2026. NIS2: Directiva (UE) 2022/2555. ENS: RD 311/2022. LIINE4DU 1.0: AEPD, octubre 2024. Versión 1.0.</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