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IGM Y ROI — DESCRIPCIÓN TÉCNICA PARA IMPLEMENTACIÓN EN EXCEL</w:t>
      </w:r>
    </w:p>
    <w:p>
      <w:pPr>
        <w:pStyle w:val="Heading2"/>
        <w:keepNext/>
        <w:keepLines/>
      </w:pPr>
      <w:r>
        <w:rPr>
          <w:color w:val="0066CC"/>
        </w:rPr>
        <w:t>Kit de Encuesta LINDDUN/LIINE4DU 2025–2026</w:t>
      </w:r>
    </w:p>
    <w:p>
      <w:pPr>
        <w:pStyle w:val="Heading3"/>
        <w:keepNext/>
        <w:keepLines/>
      </w:pPr>
      <w:r>
        <w:t>Especificación funcional completa · Lista para implementar en Microsoft Excel o Google Sheets</w:t>
      </w:r>
    </w:p>
    <w:p>
      <w:r>
        <w:rPr>
          <w:i/>
        </w:rPr>
        <w:t>"Lo que no se mide, no se gestiona. Lo que no se gestiona en privacidad, eventualmente lo gestiona la AEPD por usted —y con sus propias tarifas."</w:t>
      </w:r>
    </w:p>
    <w:p>
      <w:pPr>
        <w:pStyle w:val="Heading2"/>
        <w:keepNext/>
        <w:keepLines/>
      </w:pPr>
      <w:r>
        <w:rPr>
          <w:color w:val="0066CC"/>
        </w:rPr>
        <w:t>ESTRUCTURA GENERAL DEL LIBRO EXCEL</w:t>
      </w:r>
    </w:p>
    <w:p>
      <w:r>
        <w:t xml:space="preserve">El libro de cálculo se organiza en </w:t>
      </w:r>
      <w:r>
        <w:rPr>
          <w:b/>
        </w:rPr>
        <w:t>8 hojas (pestañas)</w:t>
      </w:r>
      <w:r>
        <w:t>, diseñadas para ser utilizadas en secuencia pero también de forma independiente: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Hoja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CONFIG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Configuración: nombre de organización, fecha, sector, responsable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Entrada de datos: registro de respuestas por módulo e ítem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IGM_CALCULO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automático del Índice de Madurez Global y por módulo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RADAR_CHART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Gráfico radar de madurez por indicador LINDDUN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ROI_PRIVACIDAD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Calculadora de ROI: coste de no cumplimiento vs. inversión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Comparación con percentiles sectoriales (datos 2025)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PLAN_MEJORA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Generador automático de plan de acción priorizado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NOTAS_AUDITORIA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Registro de evidencias y notas del facilitador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1: CONFIG — Configuración del Diagnóstico</w:t>
      </w:r>
    </w:p>
    <w:p>
      <w:pPr>
        <w:pStyle w:val="Heading3"/>
        <w:keepNext/>
        <w:keepLines/>
      </w:pPr>
      <w:r>
        <w:t>Campos requeridos: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A1: [LOGO] — Celda para imagen del logo (insertar imagen)</w:t>
        <w:br/>
        <w:t>B1: "KIT DE DIAGNÓSTICO LINDDUN/LIINE4DU 2025–2026"</w:t>
        <w:br/>
        <w:br/>
        <w:t>A3: "Organización:"         B3: [Campo libre — texto]</w:t>
        <w:br/>
        <w:t>A4: "Sector:"               B4: [Lista desplegable — ver P0.1 encuesta]</w:t>
        <w:br/>
        <w:t>A5: "Tamaño:"               B5: [Lista desplegable: &lt;50 / 50-249 / 250-999 / 1000-4999 / 5000+]</w:t>
        <w:br/>
        <w:t>A6: "Ámbito territorial:"   B6: [Lista desplegable — ver P0.3 encuesta]</w:t>
        <w:br/>
        <w:t>A7: "Fecha diagnóstico:"    B7: [Formato fecha DD/MM/AAAA]</w:t>
        <w:br/>
        <w:t>A8: "Facilitador:"          B8: [Campo libre]</w:t>
        <w:br/>
        <w:t>A9: "DPO responsable:"      B9: [Campo libre]</w:t>
        <w:br/>
        <w:t>A10: "Versión encuesta:"    B10: "v1.0 — Abril 2026" [fijo]</w:t>
        <w:br/>
        <w:br/>
        <w:t xml:space="preserve">A12: "NIVEL MÍNIMO RECOMENDADO:" </w:t>
        <w:br/>
        <w:t>B12: [Fórmula: =SI(B4="Sanidad y ciencias de la vida";75%;SI(B4="Servicios financieros y seguros";70%;...;60%))]</w:t>
        <w:br/>
      </w:r>
    </w:p>
    <w:p>
      <w:r>
        <w:rPr>
          <w:b/>
        </w:rPr>
        <w:t>Colores corporativos sugeridos</w:t>
      </w:r>
      <w:r>
        <w:t xml:space="preserve"> (aplicar mediante formato condicional):</w:t>
      </w:r>
      <w:r/>
      <w:r>
        <w:br/>
        <w:t>- Fondo encabezado: #1B3A6B (azul oscuro institucional)</w:t>
      </w:r>
      <w:r/>
      <w:r>
        <w:br/>
        <w:t>- Texto encabezado: #FFFFFF (blanco)</w:t>
      </w:r>
      <w:r/>
      <w:r>
        <w:br/>
        <w:t>- Filas alternas: #F5F7FA (gris muy claro)</w:t>
      </w:r>
      <w:r/>
      <w:r>
        <w:br/>
        <w:t>- Indicadores de riesgo: #D32F2F (rojo), #F57F17 (naranja), #388E3C (verde)</w:t>
      </w:r>
    </w:p>
    <w:p>
      <w:pPr>
        <w:pStyle w:val="Heading2"/>
        <w:keepNext/>
        <w:keepLines/>
      </w:pPr>
      <w:r>
        <w:rPr>
          <w:color w:val="0066CC"/>
        </w:rPr>
        <w:t>HOJA 2: RESPUESTAS — Entrada de Datos</w:t>
      </w:r>
    </w:p>
    <w:p>
      <w:pPr>
        <w:pStyle w:val="Heading3"/>
        <w:keepNext/>
        <w:keepLines/>
      </w:pPr>
      <w:r>
        <w:t>Estructura de la tabla de respuestas: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 A: Código de pregunta (P1.1, P1.2, ... P10.4)</w:t>
        <w:br/>
        <w:t>Col B: Módulo (M1–M10)</w:t>
        <w:br/>
        <w:t>Col C: Indicador LINDDUN (L / I / NR / D / DD / U / NC / Inaccuracy / Exclusion / Transversal)</w:t>
        <w:br/>
        <w:t>Col D: Texto resumido de la pregunta</w:t>
        <w:br/>
        <w:t>Col E: Respuesta seleccionada (desplegable: A / B / C / D / E)</w:t>
        <w:br/>
        <w:t>Col F: Puntuación automática (=SI(E2="A";1;SI(E2="B";2;SI(E2="C";3;SI(E2="D";4;SI(E2="E";5;0))))))</w:t>
        <w:br/>
        <w:t>Col G: Nivel de riesgo (formato condicional: A/B = 🔴, C = 🟡, D/E = 🟢)</w:t>
        <w:br/>
        <w:t>Col H: Evidencia documental (campo libre: nombre del documento que respalda la respuesta)</w:t>
        <w:br/>
        <w:t>Col I: Fecha de la evidencia</w:t>
        <w:br/>
        <w:t>Col J: Observaciones del facilitador</w:t>
        <w:br/>
      </w:r>
    </w:p>
    <w:p>
      <w:pPr>
        <w:pStyle w:val="Heading3"/>
        <w:keepNext/>
        <w:keepLines/>
      </w:pPr>
      <w:r>
        <w:t>Validación de datos (reglas de integridad):</w:t>
      </w:r>
    </w:p>
    <w:p>
      <w:pPr>
        <w:pStyle w:val="ListBullet"/>
        <w:keepLines w:val="1"/>
        <w:keepNext w:val="1"/>
        <w:widowControl w:val="1"/>
      </w:pPr>
      <w:r>
        <w:t>Col E: Solo acepta A, B, C, D o E (lista desplegable, no editable a mano)</w:t>
      </w:r>
    </w:p>
    <w:p>
      <w:pPr>
        <w:pStyle w:val="ListBullet"/>
        <w:keepLines w:val="1"/>
        <w:keepNext w:val="1"/>
        <w:widowControl w:val="1"/>
      </w:pPr>
      <w:r>
        <w:t>Col F: Calculada automáticamente, bloqueada para edición</w:t>
      </w:r>
    </w:p>
    <w:p>
      <w:pPr>
        <w:pStyle w:val="ListBullet"/>
        <w:keepLines w:val="1"/>
        <w:widowControl w:val="1"/>
      </w:pPr>
      <w:r>
        <w:t>Col I: Solo acepta fechas válidas, alerta si fecha &gt; 24 meses ("⚠️ Evidencia desactualizada")</w:t>
      </w:r>
    </w:p>
    <w:p>
      <w:pPr>
        <w:pStyle w:val="Heading3"/>
        <w:keepNext/>
        <w:keepLines/>
      </w:pPr>
      <w:r>
        <w:t>Tabla de módulos y pesos (oculta, referenciada por IGM_CALCULO):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M1 - Linking:           Peso = 10%;  N_items = 5</w:t>
        <w:br/>
        <w:t>M2 - Identifying:       Peso = 12%;  N_items = 4</w:t>
        <w:br/>
        <w:t>M3 - Non-repudiation:   Peso = 8%;   N_items = 4</w:t>
        <w:br/>
        <w:t>M4 - Detecting:         Peso = 8%;   N_items = 4</w:t>
        <w:br/>
        <w:t>M5 - Data Disclosure:   Peso = 15%;  N_items = 5</w:t>
        <w:br/>
        <w:t>M6 - Unawareness:       Peso = 12%;  N_items = 5</w:t>
        <w:br/>
        <w:t>M7 - Non-compliance:    Peso = 15%;  N_items = 5</w:t>
        <w:br/>
        <w:t>M8 - Inaccuracy/Excl.:  Peso = 8%;   N_items = 3</w:t>
        <w:br/>
        <w:t>M9 - Gobernanza:        Peso = 7%;   N_items = 3</w:t>
        <w:br/>
        <w:t>M10 - Tecnología IA:    Peso = 5%;   N_items = 4</w:t>
        <w:br/>
      </w:r>
    </w:p>
    <w:p>
      <w:pPr>
        <w:pStyle w:val="Heading2"/>
        <w:keepNext/>
        <w:keepLines/>
      </w:pPr>
      <w:r>
        <w:rPr>
          <w:color w:val="0066CC"/>
        </w:rPr>
        <w:t>HOJA 3: IGM_CALCULO — Índice de Madurez Global</w:t>
      </w:r>
    </w:p>
    <w:p>
      <w:pPr>
        <w:pStyle w:val="Heading3"/>
        <w:keepNext/>
        <w:keepLines/>
      </w:pPr>
      <w:r>
        <w:t>Panel de resultados principales: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ÍNDICE DE MADUREZ GLOBAL (IGM)                                 │</w:t>
        <w:br/>
        <w:t>│  ══════════════════════════════════════════════════════         │</w:t>
        <w:br/>
        <w:t>│  IGM TOTAL:  [██████░░░░] 63.2%   Nivel: MEDIO 🟡               │</w:t>
        <w:br/>
        <w:t>│  Nivel mínimo recomendado (sector): 60%  ✅ Superado             │</w:t>
        <w:br/>
        <w:t>│  Gap hasta nivel Alto (75%): -11.8 puntos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Tabla de puntuaciones por módulo: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 A: Módulo</w:t>
        <w:br/>
        <w:t>Col B: Indicador LINDDUN</w:t>
        <w:br/>
        <w:t>Col C: Puntuación media del módulo (1–5)</w:t>
        <w:br/>
        <w:t>Col D: Porcentaje de madurez del módulo (=C/5*100%)</w:t>
        <w:br/>
        <w:t>Col E: Peso del módulo</w:t>
        <w:br/>
        <w:t>Col F: Contribución ponderada al IGM (=D*E)</w:t>
        <w:br/>
        <w:t>Col G: Semáforo visual (formato condicional por rangos)</w:t>
        <w:br/>
        <w:t>Col H: Número de ítems en nivel A/B ("⚠️ ítems de riesgo alto")</w:t>
        <w:br/>
        <w:t>Col I: Variación respecto al diagnóstico anterior (si existe)</w:t>
        <w:br/>
      </w:r>
    </w:p>
    <w:p>
      <w:pPr>
        <w:pStyle w:val="Heading3"/>
        <w:keepNext/>
        <w:keepLines/>
      </w:pPr>
      <w:r>
        <w:t>Fórmula IGM implementada 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SUMAPRODUCTO(D2:D11; E2:E11)</w:t>
        <w:br/>
        <w:br/>
        <w:t>Donde:</w:t>
        <w:br/>
        <w:t>- D2:D11 = Vector de porcentajes de madurez por módulo</w:t>
        <w:br/>
        <w:t>- E2:E11 = Vector de pesos por módulo</w:t>
        <w:br/>
      </w:r>
    </w:p>
    <w:p>
      <w:pPr>
        <w:pStyle w:val="Heading3"/>
        <w:keepNext/>
        <w:keepLines/>
      </w:pPr>
      <w:r>
        <w:t>Clasificación automática: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=SI(IGM&lt;40%;"🔴 MUY BAJO - Riesgo regulatorio inmediato";</w:t>
        <w:br/>
        <w:t xml:space="preserve">  SI(IGM&lt;60%;"🟠 BAJO - Cumplimiento formal insuficiente";</w:t>
        <w:br/>
        <w:t xml:space="preserve">    SI(IGM&lt;75%;"🟡 MEDIO - Cumplimiento básico, mejoras necesarias";</w:t>
        <w:br/>
        <w:t xml:space="preserve">      SI(IGM&lt;90%;"🟢 ALTO - Buenas prácticas implementadas";</w:t>
        <w:br/>
        <w:t xml:space="preserve">        "💚 MUY ALTO - Excelencia en privacidad"))))</w:t>
        <w:br/>
      </w:r>
    </w:p>
    <w:p>
      <w:pPr>
        <w:pStyle w:val="Heading2"/>
        <w:keepNext/>
        <w:keepLines/>
      </w:pPr>
      <w:r>
        <w:rPr>
          <w:color w:val="0066CC"/>
        </w:rPr>
        <w:t>HOJA 4: RADAR_CHART — Visualización de Madurez</w:t>
      </w:r>
    </w:p>
    <w:p>
      <w:pPr>
        <w:pStyle w:val="Heading3"/>
        <w:keepNext/>
        <w:keepLines/>
      </w:pPr>
      <w:r>
        <w:t>Instrucciones para el gráfico radar:</w:t>
      </w:r>
    </w:p>
    <w:p>
      <w:r>
        <w:rPr>
          <w:b/>
        </w:rPr>
        <w:t>Datos de entrada</w:t>
      </w:r>
      <w:r>
        <w:t xml:space="preserve"> (tabla de 10 filas × 3 columnas):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 A: Nombre del módulo (M1–M10)</w:t>
        <w:br/>
        <w:t>Col B: Puntuación actual (0–5)</w:t>
        <w:br/>
        <w:t>Col C: Nivel mínimo recomendado para el sector (0–5) [línea de referencia]</w:t>
        <w:br/>
      </w:r>
    </w:p>
    <w:p>
      <w:r>
        <w:rPr>
          <w:b/>
        </w:rPr>
        <w:t>Configuración del gráfico en Excel</w:t>
      </w:r>
      <w:r>
        <w:t>:</w:t>
      </w:r>
      <w:r/>
      <w:r>
        <w:br/>
        <w:t>1. Seleccionar rango A:C con encabezados</w:t>
      </w:r>
      <w:r/>
      <w:r>
        <w:br/>
        <w:t>2. Insertar &gt; Gráfico &gt; Radial (o "Spider chart") → Seleccionar tipo "Radial relleno"</w:t>
      </w:r>
      <w:r/>
      <w:r>
        <w:br/>
        <w:t>3. Serie 1 (puntuación actual): color #1B3A6B con transparencia 40%</w:t>
      </w:r>
      <w:r/>
      <w:r>
        <w:br/>
        <w:t>4. Serie 2 (nivel mínimo): línea discontinua roja #D32F2F, sin relleno</w:t>
      </w:r>
      <w:r/>
      <w:r>
        <w:br/>
        <w:t>5. Título: "Perfil de Madurez LINDDUN — [Nombre organización] — [Fecha]"</w:t>
      </w:r>
      <w:r/>
      <w:r>
        <w:br/>
        <w:t>6. Escala: 0 a 5, con marcas en 1, 2, 3, 4, 5</w:t>
      </w:r>
    </w:p>
    <w:p>
      <w:r>
        <w:rPr>
          <w:b/>
        </w:rPr>
        <w:t>Interpretación visual</w:t>
      </w:r>
      <w:r>
        <w:t>:</w:t>
      </w:r>
      <w:r/>
      <w:r>
        <w:br/>
        <w:t xml:space="preserve">- Área </w:t>
      </w:r>
      <w:r>
        <w:rPr>
          <w:b/>
        </w:rPr>
        <w:t>azul grande y equilibrada</w:t>
      </w:r>
      <w:r>
        <w:t>: organización con madurez alta y homogénea</w:t>
      </w:r>
      <w:r/>
      <w:r>
        <w:br/>
        <w:t xml:space="preserve">- Área </w:t>
      </w:r>
      <w:r>
        <w:rPr>
          <w:b/>
        </w:rPr>
        <w:t>azul pequeña o desequilibrada</w:t>
      </w:r>
      <w:r>
        <w:t>: áreas críticas identificadas como prioridad de mejora</w:t>
      </w:r>
      <w:r/>
      <w:r>
        <w:br/>
        <w:t xml:space="preserve">- Puntos </w:t>
      </w:r>
      <w:r>
        <w:rPr>
          <w:b/>
        </w:rPr>
        <w:t>por debajo de la línea roja</w:t>
      </w:r>
      <w:r>
        <w:t>: módulos bajo el umbral mínimo recomendado</w:t>
      </w:r>
    </w:p>
    <w:p>
      <w:pPr>
        <w:pStyle w:val="Heading2"/>
        <w:keepNext/>
        <w:keepLines/>
      </w:pPr>
      <w:r>
        <w:rPr>
          <w:color w:val="0066CC"/>
        </w:rPr>
        <w:t>HOJA 5: ROI_PRIVACIDAD — Calculadora de Retorno de la Inversión</w:t>
      </w:r>
    </w:p>
    <w:p>
      <w:pPr>
        <w:pStyle w:val="Heading3"/>
        <w:keepNext/>
        <w:keepLines/>
      </w:pPr>
      <w:r>
        <w:t>Sección A: Coste de No Cumplimiento (CNC)</w:t>
      </w:r>
    </w:p>
    <w:p>
      <w:r>
        <w:rPr>
          <w:b/>
        </w:rPr>
        <w:t>Estimación de sanciones potenciales</w:t>
      </w:r>
      <w:r>
        <w:t xml:space="preserve"> (basada en infracciones detectadas en la encuesta):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 A: Tipo de infracción potencial (basado en ítems con respuesta A/B)</w:t>
        <w:br/>
        <w:t>Col B: Artículo RGPD/AI Act infringido</w:t>
        <w:br/>
        <w:t>Col C: Sanción máxima legal (€)</w:t>
        <w:br/>
        <w:t>Col D: Factor de probabilidad (estimación: Baja=10% / Media=30% / Alta=60% / Muy Alta=80%)</w:t>
        <w:br/>
        <w:t>Col E: Factor de gravedad organizacional (pequeña=0.5 / mediana=1.0 / grande=2.0 / gran empresa=4.0)</w:t>
        <w:br/>
        <w:t>Col F: Sanción esperada ajustada (=C*D*E)</w:t>
        <w:br/>
        <w:br/>
        <w:t>Total CNC = SUMA(F:F)</w:t>
        <w:br/>
      </w:r>
    </w:p>
    <w:p>
      <w:r>
        <w:rPr>
          <w:b/>
        </w:rPr>
        <w:t>Costes directos adicionales</w:t>
      </w:r>
      <w:r>
        <w:t xml:space="preserve"> (campos editables):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- Coste estimado de respuesta a brecha (notificación, gestión, comunicación): [€]</w:t>
        <w:br/>
        <w:t>- Coste estimado de litigios y reclamaciones de interesados: [€]</w:t>
        <w:br/>
        <w:t>- Coste de daño reputacional (estimado como % de facturación): [%]</w:t>
        <w:br/>
        <w:t>- Coste de suspensión operativa (como en caso AENA): [€/día × días estimados]</w:t>
        <w:br/>
        <w:t>- Coste de medidas correctoras ordenadas por AEPD: [€]</w:t>
        <w:br/>
        <w:br/>
        <w:t>SUBTOTAL COSTES DIRECTOS = SUMA de los anteriores</w:t>
        <w:br/>
        <w:t>TOTAL CNC = Sanciones esperadas + Costes directos</w:t>
        <w:br/>
      </w:r>
    </w:p>
    <w:p>
      <w:pPr>
        <w:pStyle w:val="Heading3"/>
        <w:keepNext/>
        <w:keepLines/>
      </w:pPr>
      <w:r>
        <w:t>Sección B: Inversión en Cumplimiento (IC)</w:t>
      </w:r>
    </w:p>
    <w:p>
      <w:r>
        <w:rPr>
          <w:b/>
        </w:rPr>
        <w:t>Presupuesto de mejora estimado</w:t>
      </w:r>
      <w:r>
        <w:t xml:space="preserve"> (categorías editables):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B1: DPO (interno o externo): [€/año]</w:t>
        <w:br/>
        <w:t>B2: Herramientas de gestión de privacidad (OneTrust, Privacera, etc.): [€/año]</w:t>
        <w:br/>
        <w:t>B3: Formación y concienciación: [€/año]</w:t>
        <w:br/>
        <w:t>B4: Consultoría y auditorías externas: [€/proyecto]</w:t>
        <w:br/>
        <w:t>B5: Implementación técnica PbD (Privacy by Design en proyectos): [% presupuesto TI]</w:t>
        <w:br/>
        <w:t>B6: Herramientas de automatización LINDDUN (PILLAR, etc.): [€/año]</w:t>
        <w:br/>
        <w:t>B7: Certificaciones (ISO 27701, ENS): [€/ciclo]</w:t>
        <w:br/>
        <w:br/>
        <w:t>TOTAL IC = SUMA(B1:B7)</w:t>
        <w:br/>
      </w:r>
    </w:p>
    <w:p>
      <w:pPr>
        <w:pStyle w:val="Heading3"/>
        <w:keepNext/>
        <w:keepLines/>
      </w:pPr>
      <w:r>
        <w:t>Sección C: Cálculo del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ROI_PRIVACIDAD (%) = ((CNC_Total - IC_Total) / IC_Total) × 100</w:t>
        <w:br/>
        <w:br/>
        <w:t>Periodo_Recuperacion (meses) = IC_Total / (CNC_Total / 12)</w:t>
        <w:br/>
        <w:br/>
        <w:t>Beneficio_Neto_3años = (CNC_Total × 3) - (IC_Total × 3)</w:t>
        <w:br/>
      </w:r>
    </w:p>
    <w:p>
      <w:pPr>
        <w:pStyle w:val="Heading3"/>
        <w:keepNext/>
        <w:keepLines/>
      </w:pPr>
      <w:r>
        <w:t>Panel de resultados ROI: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ANÁLISIS COSTE-BENEFICIO DE PRIVACIDAD                     │</w:t>
        <w:br/>
        <w:t>│  ═══════════════════════════════════════════════════════    │</w:t>
        <w:br/>
        <w:t>│  Coste de No Cumplimiento (CNC anual):     [€ XXX.XXX]      │</w:t>
        <w:br/>
        <w:t>│  Inversión en Cumplimiento (IC anual):     [€ XX.XXX]       │</w:t>
        <w:br/>
        <w:t>│  ─────────────────────────────────────────────────────      │</w:t>
        <w:br/>
        <w:t>│  ROI de la Inversión en Privacidad:        [XXX%] 📈         │</w:t>
        <w:br/>
        <w:t>│  Período de recuperación de la inversión:  [X,X meses]      │</w:t>
        <w:br/>
        <w:t>│  Beneficio neto proyectado (3 años):       [€ XXX.XXX]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Nota metodológica</w:t>
      </w:r>
      <w:r>
        <w:t>: El CNC es una estimación conservadora basada en probabilidades estadísticas de sanciones. No constituye asesoramiento jurídico. Para cálculos de riesgo legal, consultar con abogado especializado.</w:t>
      </w:r>
    </w:p>
    <w:p>
      <w:pPr>
        <w:pStyle w:val="Heading2"/>
        <w:keepNext/>
        <w:keepLines/>
      </w:pPr>
      <w:r>
        <w:rPr>
          <w:color w:val="0066CC"/>
        </w:rPr>
        <w:t>HOJA 6: BENCHMARKING — Comparación Sectorial</w:t>
      </w:r>
    </w:p>
    <w:p>
      <w:pPr>
        <w:pStyle w:val="Heading3"/>
        <w:keepNext/>
        <w:keepLines/>
      </w:pPr>
      <w:r>
        <w:t>Tabla de percentiles sectoriales 2025–2026</w:t>
      </w:r>
    </w:p>
    <w:p>
      <w:r>
        <w:rPr>
          <w:i/>
        </w:rPr>
        <w:t>(Datos de referencia del Observatorio de la Privacidad — ISMS Forum España 2025 e informes ENISA)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 A: Módulo LINDDUN</w:t>
        <w:br/>
        <w:t>Col B: IGM de la organización (vinculado a IGM_CALCULO)</w:t>
        <w:br/>
        <w:t>Col C: Percentil 25 (sector)  → "Cuartil inferior"</w:t>
        <w:br/>
        <w:t>Col D: Percentil 50 (sector)  → "Mediana sectorial"</w:t>
        <w:br/>
        <w:t>Col E: Percentil 75 (sector)  → "Cuartil superior (buenas prácticas)"</w:t>
        <w:br/>
        <w:t>Col F: Mejor práctica sectorial → "Referente del sector"</w:t>
        <w:br/>
        <w:t>Col G: Posición relativa (=SI(B&lt;C;"Por debajo del 25%";SI(B&lt;D;"Entre 25-50%";SI(B&lt;E;"Entre 50-75%";"Top 25%"))))</w:t>
        <w:br/>
      </w:r>
    </w:p>
    <w:p>
      <w:pPr>
        <w:pStyle w:val="Heading3"/>
        <w:keepNext/>
        <w:keepLines/>
      </w:pPr>
      <w:r>
        <w:t>Gráfico de posicionamiento:</w:t>
      </w:r>
    </w:p>
    <w:p>
      <w:r>
        <w:t>Gráfico de barras agrupadas con:</w:t>
      </w:r>
      <w:r/>
      <w:r>
        <w:br/>
        <w:t>- Barra azul oscuro: puntuación de la organización</w:t>
      </w:r>
      <w:r/>
      <w:r>
        <w:br/>
        <w:t>- Barra gris claro: mediana sectorial</w:t>
      </w:r>
      <w:r/>
      <w:r>
        <w:br/>
        <w:t>- Línea roja punteada: nivel mínimo recomendado</w:t>
      </w:r>
    </w:p>
    <w:p>
      <w:pPr>
        <w:pStyle w:val="Heading2"/>
        <w:keepNext/>
        <w:keepLines/>
      </w:pPr>
      <w:r>
        <w:rPr>
          <w:color w:val="0066CC"/>
        </w:rPr>
        <w:t>HOJA 7: PLAN_MEJORA — Generador de Plan de Acción</w:t>
      </w:r>
    </w:p>
    <w:p>
      <w:pPr>
        <w:pStyle w:val="Heading3"/>
        <w:keepNext/>
        <w:keepLines/>
      </w:pPr>
      <w:r>
        <w:t>Generación automática basada en respuestas:</w:t>
      </w:r>
    </w:p>
    <w:p>
      <w:r>
        <w:t>El plan de mejora se genera automáticamente a partir de todos los ítems con respuesta A o B, ordenados por:</w:t>
      </w:r>
      <w:r/>
      <w:r>
        <w:br/>
        <w:t xml:space="preserve">1. </w:t>
      </w:r>
      <w:r>
        <w:rPr>
          <w:b/>
        </w:rPr>
        <w:t>Nivel de riesgo regulatorio</w:t>
      </w:r>
      <w:r>
        <w:t xml:space="preserve"> (🔴 primero, ⚠️ segundo)</w:t>
      </w:r>
      <w:r/>
      <w:r>
        <w:br/>
        <w:t xml:space="preserve">2. </w:t>
      </w:r>
      <w:r>
        <w:rPr>
          <w:b/>
        </w:rPr>
        <w:t>Peso del módulo</w:t>
      </w:r>
      <w:r>
        <w:t xml:space="preserve"> en el IGM</w:t>
      </w:r>
      <w:r/>
      <w:r>
        <w:br/>
        <w:t xml:space="preserve">3. </w:t>
      </w:r>
      <w:r>
        <w:rPr>
          <w:b/>
        </w:rPr>
        <w:t>Facilidad de implementación</w:t>
      </w:r>
      <w:r>
        <w:t xml:space="preserve"> (estimada por tipo de medida)</w:t>
      </w:r>
    </w:p>
    <w:p>
      <w:pPr>
        <w:pStyle w:val="Heading3"/>
        <w:keepNext/>
        <w:keepLines/>
      </w:pPr>
      <w:r>
        <w:t>Estructura de cada acción del plan: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 A: Prioridad (1–N, calculada automáticamente)</w:t>
        <w:br/>
        <w:t>Col B: Pregunta origen (P1.1, P2.2, etc.)</w:t>
        <w:br/>
        <w:t>Col C: Módulo / Indicador LINDDUN</w:t>
        <w:br/>
        <w:t>Col D: Respuesta actual (A/B)</w:t>
        <w:br/>
        <w:t>Col E: Nivel objetivo recomendado (C/D/E)</w:t>
        <w:br/>
        <w:t>Col F: Acción de mejora recomendada (texto pre-cargado por ítem)</w:t>
        <w:br/>
        <w:t>Col G: Normativa implicada (RGPD Art. / AI Act Art. / NIS2 Art.)</w:t>
        <w:br/>
        <w:t>Col H: Plazo recomendado (Inmediato / 3 meses / 6 meses / 12 meses)</w:t>
        <w:br/>
        <w:t>Col I: Responsable sugerido (DPO / CISO / CTO / Legal / Negocio)</w:t>
        <w:br/>
        <w:t>Col J: Recursos estimados (€ orientativo)</w:t>
        <w:br/>
        <w:t>Col K: Estado (Pendiente / En curso / Completada) — editable</w:t>
        <w:br/>
        <w:t>Col L: Fecha prevista de completación</w:t>
        <w:br/>
        <w:t>Col M: Fecha real de completación</w:t>
        <w:br/>
      </w:r>
    </w:p>
    <w:p>
      <w:pPr>
        <w:pStyle w:val="Heading3"/>
        <w:keepNext/>
        <w:keepLines/>
      </w:pPr>
      <w:r>
        <w:t>Resumen del plan: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Total acciones identificadas: [N]</w:t>
        <w:br/>
        <w:t>- Prioridad INMEDIATA (riesgo 🔴): [N]</w:t>
        <w:br/>
        <w:t>- Prioridad ALTA (≤3 meses): [N]</w:t>
        <w:br/>
        <w:t>- Prioridad MEDIA (≤6 meses): [N]</w:t>
        <w:br/>
        <w:t>- Prioridad BAJA (≤12 meses): [N]</w:t>
        <w:br/>
        <w:br/>
        <w:t>Presupuesto total estimado: [€]</w:t>
        <w:br/>
        <w:t>IGM proyectado tras implementación: [X%]</w:t>
        <w:br/>
      </w:r>
    </w:p>
    <w:p>
      <w:pPr>
        <w:pStyle w:val="Heading2"/>
        <w:keepNext/>
        <w:keepLines/>
      </w:pPr>
      <w:r>
        <w:rPr>
          <w:color w:val="0066CC"/>
        </w:rPr>
        <w:t>HOJA 8: NOTAS_AUDITORIA — Registro de Evidencias</w:t>
      </w:r>
    </w:p>
    <w:p>
      <w:pPr>
        <w:pStyle w:val="Heading3"/>
        <w:keepNext/>
        <w:keepLines/>
      </w:pPr>
      <w:r>
        <w:t>Tabla de evidencias por módulo: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 A: Código pregunta</w:t>
        <w:br/>
        <w:t>Col B: Tipo de evidencia (Documento / Política / Sistema / Entrevista / Test técnico)</w:t>
        <w:br/>
        <w:t>Col C: Nombre del documento/evidencia</w:t>
        <w:br/>
        <w:t>Col D: Fecha del documento</w:t>
        <w:br/>
        <w:t>Col E: Responsable del documento</w:t>
        <w:br/>
        <w:t>Col F: Ubicación (ruta de archivo o URL interna)</w:t>
        <w:br/>
        <w:t>Col G: Estado de vigencia (Vigente / Desactualizado / Pendiente de crear)</w:t>
        <w:br/>
        <w:t>Col H: Observaciones del facilitador</w:t>
        <w:br/>
      </w:r>
    </w:p>
    <w:p>
      <w:pPr>
        <w:pStyle w:val="Heading2"/>
        <w:keepNext/>
        <w:keepLines/>
      </w:pPr>
      <w:r>
        <w:rPr>
          <w:color w:val="0066CC"/>
        </w:rPr>
        <w:t>INSTRUCCIONES DE IMPLEMENTACIÓN</w:t>
      </w:r>
    </w:p>
    <w:p>
      <w:pPr>
        <w:pStyle w:val="Heading3"/>
        <w:keepNext/>
        <w:keepLines/>
      </w:pPr>
      <w:r>
        <w:t>En Microsoft Excel (365 o 2021+):</w:t>
      </w:r>
    </w:p>
    <w:p>
      <w:pPr>
        <w:pStyle w:val="ListNumber"/>
        <w:keepLines w:val="1"/>
        <w:keepNext w:val="1"/>
        <w:widowControl w:val="1"/>
      </w:pPr>
      <w:r>
        <w:t>Crear un nuevo libro con las 8 hojas descritas.</w:t>
      </w:r>
    </w:p>
    <w:p>
      <w:pPr>
        <w:pStyle w:val="ListNumber"/>
        <w:keepLines w:val="1"/>
        <w:keepNext w:val="1"/>
        <w:widowControl w:val="1"/>
      </w:pPr>
      <w:r>
        <w:t>Nombrar las pestañas exactamente como se indica.</w:t>
      </w:r>
    </w:p>
    <w:p>
      <w:pPr>
        <w:pStyle w:val="ListNumber"/>
        <w:keepLines w:val="1"/>
        <w:keepNext w:val="1"/>
        <w:widowControl w:val="1"/>
      </w:pPr>
      <w:r>
        <w:t>Implementar las fórmulas de la Hoja 3 (IGM_CALCULO) antes que el resto.</w:t>
      </w:r>
    </w:p>
    <w:p>
      <w:pPr>
        <w:pStyle w:val="ListNumber"/>
        <w:keepLines w:val="1"/>
        <w:keepNext w:val="1"/>
        <w:widowControl w:val="1"/>
      </w:pPr>
      <w:r>
        <w:t>Crear los rangos con nombre (NombreRango) para facilitar las referencias entre hojas.</w:t>
      </w:r>
    </w:p>
    <w:p>
      <w:pPr>
        <w:pStyle w:val="ListNumber"/>
        <w:keepLines w:val="1"/>
        <w:keepNext w:val="1"/>
        <w:widowControl w:val="1"/>
      </w:pPr>
      <w:r>
        <w:t>Proteger las hojas de fórmulas (Revisar &gt; Proteger hoja) dejando desbloqueadas solo las celdas de entrada de datos.</w:t>
      </w:r>
    </w:p>
    <w:p>
      <w:pPr>
        <w:pStyle w:val="ListNumber"/>
        <w:keepLines w:val="1"/>
        <w:keepNext w:val="1"/>
        <w:widowControl w:val="1"/>
      </w:pPr>
      <w:r>
        <w:t>Configurar los formatos condicionales para los semáforos visuales.</w:t>
      </w:r>
    </w:p>
    <w:p>
      <w:pPr>
        <w:pStyle w:val="ListNumber"/>
        <w:keepLines w:val="1"/>
        <w:widowControl w:val="1"/>
      </w:pPr>
      <w:r>
        <w:t>Crear el gráfico radar en la Hoja 4 a partir de los datos calculados en Hoja 3.</w:t>
      </w:r>
    </w:p>
    <w:p>
      <w:pPr>
        <w:pStyle w:val="Heading3"/>
        <w:keepNext/>
        <w:keepLines/>
      </w:pPr>
      <w:r>
        <w:t>En Google Sheets:</w:t>
      </w:r>
    </w:p>
    <w:p>
      <w:r>
        <w:t>Los mismos pasos son aplicables. El gráfico radar en Google Sheets requiere instalar el complemento "Chart Studio" o "Vega Chart" ya que los gráficos radar nativos tienen limitaciones de formato.</w:t>
      </w:r>
    </w:p>
    <w:p>
      <w:pPr>
        <w:pStyle w:val="Heading3"/>
        <w:keepNext/>
        <w:keepLines/>
      </w:pPr>
      <w:r>
        <w:t>Compatibilidad:</w:t>
      </w:r>
    </w:p>
    <w:p>
      <w:pPr>
        <w:pStyle w:val="ListBullet"/>
        <w:keepLines w:val="1"/>
        <w:keepNext w:val="1"/>
        <w:widowControl w:val="1"/>
      </w:pPr>
      <w:r>
        <w:t>Microsoft Excel 365: Compatibilidad total (incluyendo gráficos SparkLines en el panel IGM)</w:t>
      </w:r>
    </w:p>
    <w:p>
      <w:pPr>
        <w:pStyle w:val="ListBullet"/>
        <w:keepLines w:val="1"/>
        <w:keepNext w:val="1"/>
        <w:widowControl w:val="1"/>
      </w:pPr>
      <w:r>
        <w:t>Microsoft Excel 2019/2021: Compatible (verificar disponibilidad de fórmulas dinámicas)</w:t>
      </w:r>
    </w:p>
    <w:p>
      <w:pPr>
        <w:pStyle w:val="ListBullet"/>
        <w:keepLines w:val="1"/>
        <w:keepNext w:val="1"/>
        <w:widowControl w:val="1"/>
      </w:pPr>
      <w:r>
        <w:t>Google Sheets: Compatible con adaptaciones menores en gráficos</w:t>
      </w:r>
    </w:p>
    <w:p>
      <w:pPr>
        <w:pStyle w:val="ListBullet"/>
        <w:keepLines w:val="1"/>
        <w:widowControl w:val="1"/>
      </w:pPr>
      <w:r>
        <w:t>LibreOffice Calc: Compatible con adaptaciones en fórmulas de formato condicional</w:t>
      </w:r>
    </w:p>
    <w:p>
      <w:pPr>
        <w:pStyle w:val="Heading2"/>
        <w:keepNext/>
        <w:keepLines/>
      </w:pPr>
      <w:r>
        <w:rPr>
          <w:color w:val="0066CC"/>
        </w:rPr>
        <w:t>FÓRMULAS CLAVE — REFERENCIA RÁPIDA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IGM Global (Hoja 3, celda B20)</w:t>
        <w:br/>
        <w:t>=SUMAPRODUCTO(D2:D11; E2:E11)</w:t>
        <w:br/>
        <w:br/>
        <w:t>// Puntuación por módulo (ejemplo Módulo 1, Hoja 3)</w:t>
        <w:br/>
        <w:t>=PROMEDIO(RESPUESTAS!F2:F6)  // Ítems P1.1 a P1.5</w:t>
        <w:br/>
        <w:br/>
        <w:t>// Clasificación automática IGM</w:t>
        <w:br/>
        <w:t>=ELEGIR(COINCIDIR(B20;{0%;40%;60%;75%;90%;100%};1);"🔴 Muy Bajo";"🟠 Bajo";"🟡 Medio";"🟢 Alto";"💚 Muy Alto")</w:t>
        <w:br/>
        <w:br/>
        <w:t>// ROI de privacidad (Hoja 5)</w:t>
        <w:br/>
        <w:t>=((CNC_Total - IC_Total) / IC_Total) * 100</w:t>
        <w:br/>
        <w:br/>
        <w:t>// Período de recuperación en meses</w:t>
        <w:br/>
        <w:t>=IC_Total / (CNC_Total / 12)</w:t>
        <w:br/>
        <w:br/>
        <w:t>// Número de ítems en riesgo alto (respuesta A o B)</w:t>
        <w:br/>
        <w:t>=CONTAR.SI(RESPUESTAS!E:E;"A") + CONTAR.SI(RESPUESTAS!E:E;"B")</w:t>
        <w:br/>
        <w:br/>
        <w:t>// Plan de mejora: priorización automática</w:t>
        <w:br/>
        <w:t>// (requiere Power Query o fórmulas de ordenamiento dinámico en Excel 365)</w:t>
        <w:br/>
        <w:t>=ORDENARPOR(tabla_acciones; columna_riesgo; -1; columna_peso; -1)</w:t>
        <w:br/>
      </w:r>
    </w:p>
    <w:p>
      <w:r>
        <w:rPr>
          <w:i/>
        </w:rPr>
        <w:t>Especificación técnica elaborada para implementación en Microsoft Excel 365 o Google Sheets. Versión 1.0 — Abril 2026. Compatible con plantillas de gestión de riesgos del ENS y con la metodología de EIPDs de la AEPD.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