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📑 PLANTILLA DE REPORTE EJECUTIVO EN POWERPOINT</w:t>
      </w:r>
    </w:p>
    <w:p>
      <w:pPr>
        <w:pStyle w:val="Heading2"/>
        <w:keepNext/>
        <w:keepLines/>
      </w:pPr>
      <w:r>
        <w:rPr>
          <w:color w:val="0066CC"/>
        </w:rPr>
        <w:t>Kit de Encuesta LINDDUN/LIINE4DU 2025–2026</w:t>
      </w:r>
    </w:p>
    <w:p>
      <w:pPr>
        <w:pStyle w:val="Heading3"/>
        <w:keepNext/>
        <w:keepLines/>
      </w:pPr>
      <w:r>
        <w:t>Especificación completa de diapositivas · Diseño profesional · Lista para implementar</w:t>
      </w:r>
    </w:p>
    <w:p>
      <w:r>
        <w:rPr>
          <w:i/>
        </w:rPr>
        <w:t>"Un buen reporte ejecutivo no informa: persuade. Y persuadir a un Consejo de Administración para que invierta en privacidad requiere exactamente el mismo rigor que persuadir a un juez de que uno ha cumplido."</w:t>
      </w:r>
    </w:p>
    <w:p>
      <w:pPr>
        <w:pStyle w:val="Heading2"/>
        <w:keepNext/>
        <w:keepLines/>
      </w:pPr>
      <w:r>
        <w:rPr>
          <w:color w:val="0066CC"/>
        </w:rPr>
        <w:t>ESPECIFICACIONES DE DISEÑO</w:t>
      </w:r>
    </w:p>
    <w:p>
      <w:pPr>
        <w:pStyle w:val="Heading3"/>
        <w:keepNext/>
        <w:keepLines/>
      </w:pPr>
      <w:r>
        <w:t>Tema Visual</w:t>
      </w:r>
    </w:p>
    <w:p>
      <w:r>
        <w:rPr>
          <w:b/>
        </w:rPr>
        <w:t>Paleta de colores</w:t>
      </w:r>
      <w:r>
        <w:t>:</w:t>
      </w:r>
      <w:r/>
      <w:r>
        <w:br/>
        <w:t xml:space="preserve">- Principal: </w:t>
      </w:r>
      <w:r>
        <w:rPr>
          <w:rFonts w:ascii="Courier New" w:hAnsi="Courier New"/>
          <w:sz w:val="18"/>
        </w:rPr>
        <w:t>#1B3A6B</w:t>
      </w:r>
      <w:r>
        <w:t xml:space="preserve"> (azul institucional profundo)</w:t>
      </w:r>
      <w:r/>
      <w:r>
        <w:br/>
        <w:t xml:space="preserve">- Secundario: </w:t>
      </w:r>
      <w:r>
        <w:rPr>
          <w:rFonts w:ascii="Courier New" w:hAnsi="Courier New"/>
          <w:sz w:val="18"/>
        </w:rPr>
        <w:t>#0D7D9C</w:t>
      </w:r>
      <w:r>
        <w:t xml:space="preserve"> (azul cian para acentos)</w:t>
      </w:r>
      <w:r/>
      <w:r>
        <w:br/>
        <w:t xml:space="preserve">- Semáforo Rojo: </w:t>
      </w:r>
      <w:r>
        <w:rPr>
          <w:rFonts w:ascii="Courier New" w:hAnsi="Courier New"/>
          <w:sz w:val="18"/>
        </w:rPr>
        <w:t>#C62828</w:t>
      </w:r>
      <w:r/>
      <w:r>
        <w:br/>
        <w:t xml:space="preserve">- Semáforo Naranja: </w:t>
      </w:r>
      <w:r>
        <w:rPr>
          <w:rFonts w:ascii="Courier New" w:hAnsi="Courier New"/>
          <w:sz w:val="18"/>
        </w:rPr>
        <w:t>#E65100</w:t>
      </w:r>
      <w:r/>
      <w:r>
        <w:br/>
        <w:t xml:space="preserve">- Semáforo Amarillo: </w:t>
      </w:r>
      <w:r>
        <w:rPr>
          <w:rFonts w:ascii="Courier New" w:hAnsi="Courier New"/>
          <w:sz w:val="18"/>
        </w:rPr>
        <w:t>#F9A825</w:t>
      </w:r>
      <w:r/>
      <w:r>
        <w:br/>
        <w:t xml:space="preserve">- Semáforo Verde: </w:t>
      </w:r>
      <w:r>
        <w:rPr>
          <w:rFonts w:ascii="Courier New" w:hAnsi="Courier New"/>
          <w:sz w:val="18"/>
        </w:rPr>
        <w:t>#2E7D32</w:t>
      </w:r>
      <w:r/>
      <w:r>
        <w:br/>
        <w:t xml:space="preserve">- Fondo principal: </w:t>
      </w:r>
      <w:r>
        <w:rPr>
          <w:rFonts w:ascii="Courier New" w:hAnsi="Courier New"/>
          <w:sz w:val="18"/>
        </w:rPr>
        <w:t>#FFFFFF</w:t>
      </w:r>
      <w:r/>
      <w:r>
        <w:br/>
        <w:t xml:space="preserve">- Fondo alternativo: </w:t>
      </w:r>
      <w:r>
        <w:rPr>
          <w:rFonts w:ascii="Courier New" w:hAnsi="Courier New"/>
          <w:sz w:val="18"/>
        </w:rPr>
        <w:t>#F0F4F8</w:t>
      </w:r>
      <w:r/>
      <w:r>
        <w:br/>
        <w:t xml:space="preserve">- Texto principal: </w:t>
      </w:r>
      <w:r>
        <w:rPr>
          <w:rFonts w:ascii="Courier New" w:hAnsi="Courier New"/>
          <w:sz w:val="18"/>
        </w:rPr>
        <w:t>#1A1A2E</w:t>
      </w:r>
      <w:r/>
      <w:r>
        <w:br/>
        <w:t xml:space="preserve">- Texto secundario: </w:t>
      </w:r>
      <w:r>
        <w:rPr>
          <w:rFonts w:ascii="Courier New" w:hAnsi="Courier New"/>
          <w:sz w:val="18"/>
        </w:rPr>
        <w:t>#546E7A</w:t>
      </w:r>
    </w:p>
    <w:p>
      <w:r>
        <w:rPr>
          <w:b/>
        </w:rPr>
        <w:t>Tipografía</w:t>
      </w:r>
      <w:r>
        <w:t>:</w:t>
      </w:r>
      <w:r/>
      <w:r>
        <w:br/>
        <w:t>- Títulos: Calibri Light 28–36pt o Segoe UI Light</w:t>
      </w:r>
      <w:r/>
      <w:r>
        <w:br/>
        <w:t>- Cuerpo: Calibri / Segoe UI 14–18pt</w:t>
      </w:r>
      <w:r/>
      <w:r>
        <w:br/>
        <w:t>- Números destacados: Segoe UI Semibold 48–72pt en color principal o semáforo</w:t>
      </w:r>
      <w:r/>
      <w:r>
        <w:br/>
        <w:t>- Pies de página: Calibri 10pt en gris #90A4AE</w:t>
      </w:r>
    </w:p>
    <w:p>
      <w:r>
        <w:rPr>
          <w:b/>
        </w:rPr>
        <w:t>Formato</w:t>
      </w:r>
      <w:r>
        <w:t>: 16:9 (widescreen). Tamaño: 33,87 × 19,05 cm.</w:t>
      </w:r>
    </w:p>
    <w:p>
      <w:r>
        <w:rPr>
          <w:b/>
        </w:rPr>
        <w:t>Elementos recurrentes</w:t>
      </w:r>
      <w:r>
        <w:t>:</w:t>
      </w:r>
      <w:r/>
      <w:r>
        <w:br/>
        <w:t>- Banda superior de color (#1B3A6B, 1,5 cm alto): título de la diapositiva en blanco</w:t>
      </w:r>
      <w:r/>
      <w:r>
        <w:br/>
        <w:t>- Banda inferior (#F0F4F8, 0,8 cm alto): número de diapositiva + nombre organización + fecha</w:t>
      </w:r>
      <w:r/>
      <w:r>
        <w:br/>
        <w:t>- Logotipo organización: esquina superior derecha (zona transparente de 3 × 2 cm)</w:t>
      </w:r>
    </w:p>
    <w:p>
      <w:pPr>
        <w:pStyle w:val="Heading2"/>
        <w:keepNext/>
        <w:keepLines/>
      </w:pPr>
      <w:r>
        <w:rPr>
          <w:color w:val="0066CC"/>
        </w:rPr>
        <w:t>ESTRUCTURA DE LA PRESENTACIÓN: 18 DIAPOSITIVAS</w:t>
      </w:r>
    </w:p>
    <w:p>
      <w:pPr>
        <w:pStyle w:val="Heading3"/>
        <w:keepNext/>
        <w:keepLines/>
      </w:pPr>
      <w:r>
        <w:t>DIAPOSITIVA 1 — PORTADA</w:t>
      </w:r>
    </w:p>
    <w:p>
      <w:r>
        <w:rPr>
          <w:b/>
        </w:rPr>
        <w:t>Diseño</w:t>
      </w:r>
      <w:r>
        <w:t xml:space="preserve">: Fondo degradado </w:t>
      </w:r>
      <w:r>
        <w:rPr>
          <w:rFonts w:ascii="Courier New" w:hAnsi="Courier New"/>
          <w:sz w:val="18"/>
        </w:rPr>
        <w:t>#1B3A6B → #0D7D9C</w:t>
      </w:r>
      <w:r>
        <w:t>, texto centrado en blanco.</w:t>
      </w:r>
    </w:p>
    <w:p>
      <w:r>
        <w:rPr>
          <w:b/>
        </w:rPr>
        <w:t>Contenido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[Logotipo de la organización — centrado arriba]</w:t>
        <w:br/>
        <w:br/>
        <w:t>DIAGNÓSTICO DE MADUREZ EN PRIVACIDAD</w:t>
        <w:br/>
        <w:t>Marco LINDDUN/LIINE4DU — Edición 2025–2026</w:t>
        <w:br/>
        <w:br/>
        <w:t>[Nombre de la organización]</w:t>
        <w:br/>
        <w:t>[Fecha del diagnóstico]</w:t>
        <w:br/>
        <w:t>Preparado por: [Nombre del facilitador/DPO]</w:t>
        <w:br/>
        <w:br/>
        <w:t>[Clasificación: CONFIDENCIAL — USO INTERNO]</w:t>
        <w:br/>
      </w:r>
    </w:p>
    <w:p>
      <w:r>
        <w:rPr>
          <w:b/>
        </w:rPr>
        <w:t>Elemento visual</w:t>
      </w:r>
      <w:r>
        <w:t>: Ilustración abstracta de red de nodos conectados con efecto de profundidad (representa el concepto de Linking).</w:t>
      </w:r>
    </w:p>
    <w:p>
      <w:pPr>
        <w:pStyle w:val="Heading3"/>
        <w:keepNext/>
        <w:keepLines/>
      </w:pPr>
      <w:r>
        <w:t>DIAPOSITIVA 2 — AVISO LEGAL Y CONFIDENCIALIDAD</w:t>
      </w:r>
    </w:p>
    <w:p>
      <w:r>
        <w:rPr>
          <w:b/>
        </w:rPr>
        <w:t>Diseño</w:t>
      </w:r>
      <w:r>
        <w:t>: Fondo blanco, texto formal en gris oscuro.</w:t>
      </w:r>
    </w:p>
    <w:p>
      <w:r>
        <w:rPr>
          <w:b/>
        </w:rPr>
        <w:t>Contenido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NOTA DE CONFIDENCIALIDAD</w:t>
        <w:br/>
        <w:br/>
        <w:t xml:space="preserve">Este documento contiene información confidencial sobre el nivel de madurez en protección </w:t>
        <w:br/>
        <w:t>de datos personales de [Nombre organización]. Su contenido ha sido elaborado exclusivamente</w:t>
        <w:br/>
        <w:t>para uso interno de la Alta Dirección y del Delegado de Protección de Datos.</w:t>
        <w:br/>
        <w:br/>
        <w:t>• La divulgación no autorizada puede comprometer la posición de la organización ante</w:t>
        <w:br/>
        <w:t xml:space="preserve">  investigaciones de la Agencia Española de Protección de Datos.</w:t>
        <w:br/>
        <w:t>• Este documento no sustituye una auditoría técnica formal ni constituye asesoramiento jurídico.</w:t>
        <w:br/>
        <w:t>• Elaborado conforme al marco LINDDUN (KU Leuven, DistriNet) y LIINE4DU 1.0 (AEPD, 2024).</w:t>
        <w:br/>
        <w:t>• Versión: 1.0 | Fecha: [DD/MM/AAAA] | Próxima revisión: [DD/MM/AAAA]</w:t>
        <w:br/>
      </w:r>
    </w:p>
    <w:p>
      <w:pPr>
        <w:pStyle w:val="Heading3"/>
        <w:keepNext/>
        <w:keepLines/>
      </w:pPr>
      <w:r>
        <w:t>DIAPOSITIVA 3 — RESUMEN EJECUTIVO (THE BIG PICTURE)</w:t>
      </w:r>
    </w:p>
    <w:p>
      <w:r>
        <w:rPr>
          <w:b/>
        </w:rPr>
        <w:t>Diseño</w:t>
      </w:r>
      <w:r>
        <w:t>: 3 cajas horizontales de igual tamaño con bordes redondeados.</w:t>
      </w:r>
    </w:p>
    <w:p>
      <w:r>
        <w:rPr>
          <w:b/>
        </w:rPr>
        <w:t>Caja 1 (Azul — "Dónde estamos")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ÍNDICE DE MADUREZ GLOBAL</w:t>
        <w:br/>
        <w:t>[Número grande: XX%]</w:t>
        <w:br/>
        <w:t>Nivel [MEDIO / ALTO / etc.]</w:t>
        <w:br/>
        <w:t>[Barra de progreso visual 0–100%]</w:t>
        <w:br/>
      </w:r>
    </w:p>
    <w:p>
      <w:r>
        <w:rPr>
          <w:b/>
        </w:rPr>
        <w:t>Caja 2 (Naranja/Verde según resultado — "Riesgos identificados")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ÍTEMS EN RIESGO ALTO</w:t>
        <w:br/>
        <w:t>[N] preguntas con respuesta A/B</w:t>
        <w:br/>
        <w:t>[N] módulos bajo el umbral mínimo</w:t>
        <w:br/>
        <w:t>Exposición regulatoria estimada: [€]</w:t>
        <w:br/>
      </w:r>
    </w:p>
    <w:p>
      <w:r>
        <w:rPr>
          <w:b/>
        </w:rPr>
        <w:t>Caja 3 (Verde — "Próximos pasos")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ACCIONES PRIORITARIAS</w:t>
        <w:br/>
        <w:t>[N] acciones inmediatas identificadas</w:t>
        <w:br/>
        <w:t>Inversión estimada: [€]</w:t>
        <w:br/>
        <w:t>ROI estimado: [XXX%]</w:t>
        <w:br/>
      </w:r>
    </w:p>
    <w:p>
      <w:r>
        <w:rPr>
          <w:b/>
        </w:rPr>
        <w:t>Nota del facilitador</w:t>
      </w:r>
      <w:r>
        <w:t xml:space="preserve"> (recuadro inferior en amarillo claro):</w:t>
      </w:r>
    </w:p>
    <w:p>
      <w:r>
        <w:t>"El IGM refleja la percepción de la organización sobre su situación actual. Un diagnóstico técnico independiente puede revelar desviaciones respecto a esta autoevaluación."</w:t>
      </w:r>
    </w:p>
    <w:p>
      <w:pPr>
        <w:pStyle w:val="Heading3"/>
        <w:keepNext/>
        <w:keepLines/>
      </w:pPr>
      <w:r>
        <w:t>DIAPOSITIVA 4 — CONTEXTO: POR QUÉ LINDDUN AHORA</w:t>
      </w:r>
    </w:p>
    <w:p>
      <w:r>
        <w:rPr>
          <w:b/>
        </w:rPr>
        <w:t>Diseño</w:t>
      </w:r>
      <w:r>
        <w:t>: Fondo alternativo (#F0F4F8), línea de tiempo horizontal.</w:t>
      </w:r>
    </w:p>
    <w:p>
      <w:r>
        <w:rPr>
          <w:b/>
        </w:rPr>
        <w:t>Contenido</w:t>
      </w:r>
      <w:r>
        <w:t xml:space="preserve"> (línea de tiempo 2024–2026):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Oct 2024 ──── Feb 2025 ──── Abr 2025 ──── Nov 2025 ──── 2026</w:t>
        <w:br/>
        <w:t xml:space="preserve">   │               │              │              │           │</w:t>
        <w:br/>
        <w:t>LIINE4DU 1.0   AI Act:        EDPB LLM      AENA 10M€   AI Act:</w:t>
        <w:br/>
        <w:t>AEPD publica   Prohibiciones  Report        Multa AEPD  Alto Riesgo</w:t>
        <w:br/>
        <w:t>adaptación     vigentes       publicado     biométrico  obligatorio</w:t>
        <w:br/>
        <w:t>española</w:t>
        <w:br/>
      </w:r>
    </w:p>
    <w:p>
      <w:r>
        <w:rPr>
          <w:b/>
        </w:rPr>
        <w:t>Recuadro clave</w:t>
      </w:r>
      <w:r>
        <w:t xml:space="preserve"> (azul oscuro, texto blanco):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EN 2025: Más de 1.150 M€ en multas RGPD en Europa</w:t>
        <w:br/>
        <w:t xml:space="preserve">         330+ sanciones impuestas</w:t>
        <w:br/>
        <w:t xml:space="preserve">         Top infracción: ausencia de base jurídica (1.030 M€)</w:t>
        <w:br/>
      </w:r>
    </w:p>
    <w:p>
      <w:pPr>
        <w:pStyle w:val="Heading3"/>
        <w:keepNext/>
        <w:keepLines/>
      </w:pPr>
      <w:r>
        <w:t>DIAPOSITIVA 5 — METODOLOGÍA DEL DIAGNÓSTICO</w:t>
      </w:r>
    </w:p>
    <w:p>
      <w:r>
        <w:rPr>
          <w:b/>
        </w:rPr>
        <w:t>Diseño</w:t>
      </w:r>
      <w:r>
        <w:t>: Diagrama de flujo horizontal en 5 pasos.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[1. Encuesta]  →  [2. Puntuación]  →  [3. IGM]  →  [4. Análisis]  →  [5. Plan]</w:t>
        <w:br/>
        <w:t xml:space="preserve">  42 ítems         Escala A–E         Ponderado      por módulo       priorizado</w:t>
        <w:br/>
        <w:t xml:space="preserve">  10 módulos        (1–5 pts)        (10 pesos)     LINDDUN           con ROI</w:t>
        <w:br/>
      </w:r>
    </w:p>
    <w:p>
      <w:r>
        <w:rPr>
          <w:b/>
        </w:rPr>
        <w:t>Texto adicional</w:t>
      </w:r>
      <w:r>
        <w:t>:</w:t>
      </w:r>
      <w:r/>
      <w:r>
        <w:br/>
        <w:t>- Respondentes: [N personas, roles]</w:t>
      </w:r>
      <w:r/>
      <w:r>
        <w:br/>
        <w:t>- Duración de la sesión: [X horas]</w:t>
      </w:r>
      <w:r/>
      <w:r>
        <w:br/>
        <w:t>- Facilitador: [Nombre]</w:t>
      </w:r>
      <w:r/>
      <w:r>
        <w:br/>
        <w:t>- Evidencias revisadas: [N documentos]</w:t>
      </w:r>
    </w:p>
    <w:p>
      <w:pPr>
        <w:pStyle w:val="Heading3"/>
        <w:keepNext/>
        <w:keepLines/>
      </w:pPr>
      <w:r>
        <w:t>DIAPOSITIVA 6 — PERFIL DE MADUREZ: RADAR CHART</w:t>
      </w:r>
    </w:p>
    <w:p>
      <w:r>
        <w:rPr>
          <w:b/>
        </w:rPr>
        <w:t>Diseño</w:t>
      </w:r>
      <w:r>
        <w:t>: Gráfico radar centrado, grande (15 × 12 cm), fondo blanco.</w:t>
      </w:r>
    </w:p>
    <w:p>
      <w:r>
        <w:rPr>
          <w:b/>
        </w:rPr>
        <w:t>Instrucciones de construcción</w:t>
      </w:r>
      <w:r>
        <w:t>:</w:t>
      </w:r>
      <w:r/>
      <w:r>
        <w:br/>
        <w:t>- 10 ejes: M1 (Linking), M2 (Identifying), M3 (Non-repudiation), M4 (Detecting), M5 (Data Disclosure), M6 (Unawareness), M7 (Non-compliance), M8 (Inaccuracy/Exclusion), M9 (Gobernanza), M10 (IA/Tecnología)</w:t>
      </w:r>
      <w:r/>
      <w:r>
        <w:br/>
        <w:t>- Escala: 0–5</w:t>
      </w:r>
      <w:r/>
      <w:r>
        <w:br/>
        <w:t>- Polígono azul relleno (transparencia 30%): puntuación actual</w:t>
      </w:r>
      <w:r/>
      <w:r>
        <w:br/>
        <w:t>- Línea roja discontinua: umbral mínimo recomendado por sector</w:t>
      </w:r>
      <w:r/>
      <w:r>
        <w:br/>
        <w:t>- Etiquetas: módulo + puntuación (ej. "M2 Identifying: 2.4")</w:t>
      </w:r>
    </w:p>
    <w:p>
      <w:r>
        <w:rPr>
          <w:b/>
        </w:rPr>
        <w:t>Leyenda</w:t>
      </w:r>
      <w:r>
        <w:t xml:space="preserve"> (parte inferior):</w:t>
      </w:r>
      <w:r/>
      <w:r>
        <w:br/>
        <w:t>- 🔵 Madurez actual ([IGM]%)</w:t>
      </w:r>
      <w:r/>
      <w:r>
        <w:br/>
        <w:t>- 🔴 Umbral mínimo recomendado ([X]%)</w:t>
      </w:r>
    </w:p>
    <w:p>
      <w:pPr>
        <w:pStyle w:val="Heading3"/>
        <w:keepNext/>
        <w:keepLines/>
      </w:pPr>
      <w:r>
        <w:t>DIAPOSITIVA 7 — PUNTUACIONES DETALLADAS POR MÓDULO</w:t>
      </w:r>
    </w:p>
    <w:p>
      <w:r>
        <w:rPr>
          <w:b/>
        </w:rPr>
        <w:t>Diseño</w:t>
      </w:r>
      <w:r>
        <w:t>: Tabla + barras horizontales de progreso.</w:t>
      </w:r>
    </w:p>
    <w:p>
      <w:r>
        <w:rPr>
          <w:b/>
        </w:rPr>
        <w:t>Tabla</w:t>
      </w:r>
      <w:r>
        <w:t xml:space="preserve"> (10 filas):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Riesgo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Linking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X.X / 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[Barra]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🔴/🟡/🟢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Identifying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X.X / 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[Barra]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...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...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...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...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...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...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IGM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Global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XX%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[Barra]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[Nivel]</w:t>
            </w:r>
          </w:p>
        </w:tc>
      </w:tr>
    </w:tbl>
    <w:p/>
    <w:p>
      <w:r>
        <w:rPr>
          <w:b/>
        </w:rPr>
        <w:t>Las barras</w:t>
      </w:r>
      <w:r>
        <w:t xml:space="preserve"> se colorean automáticamente:</w:t>
      </w:r>
      <w:r/>
      <w:r>
        <w:br/>
        <w:t xml:space="preserve">- &lt; 2.5: Rojo </w:t>
      </w:r>
      <w:r>
        <w:rPr>
          <w:rFonts w:ascii="Courier New" w:hAnsi="Courier New"/>
          <w:sz w:val="18"/>
        </w:rPr>
        <w:t>#C62828</w:t>
      </w:r>
      <w:r/>
      <w:r>
        <w:br/>
        <w:t xml:space="preserve">- 2.5–3.4: Naranja </w:t>
      </w:r>
      <w:r>
        <w:rPr>
          <w:rFonts w:ascii="Courier New" w:hAnsi="Courier New"/>
          <w:sz w:val="18"/>
        </w:rPr>
        <w:t>#E65100</w:t>
      </w:r>
      <w:r/>
      <w:r>
        <w:br/>
        <w:t xml:space="preserve">- 3.5–4.4: Verde claro </w:t>
      </w:r>
      <w:r>
        <w:rPr>
          <w:rFonts w:ascii="Courier New" w:hAnsi="Courier New"/>
          <w:sz w:val="18"/>
        </w:rPr>
        <w:t>#558B2F</w:t>
      </w:r>
      <w:r/>
      <w:r>
        <w:br/>
        <w:t xml:space="preserve">- ≥ 4.5: Verde oscuro </w:t>
      </w:r>
      <w:r>
        <w:rPr>
          <w:rFonts w:ascii="Courier New" w:hAnsi="Courier New"/>
          <w:sz w:val="18"/>
        </w:rPr>
        <w:t>#1B5E20</w:t>
      </w:r>
    </w:p>
    <w:p>
      <w:pPr>
        <w:pStyle w:val="Heading3"/>
        <w:keepNext/>
        <w:keepLines/>
      </w:pPr>
      <w:r>
        <w:t>DIAPOSITIVA 8 — TOP 5 FORTALEZAS</w:t>
      </w:r>
    </w:p>
    <w:p>
      <w:r>
        <w:rPr>
          <w:b/>
        </w:rPr>
        <w:t>Diseño</w:t>
      </w:r>
      <w:r>
        <w:t>: Fondo verde muy claro, 5 tarjetas con icono + texto.</w:t>
      </w:r>
    </w:p>
    <w:p>
      <w:r>
        <w:rPr>
          <w:b/>
        </w:rPr>
        <w:t>Formato por fortaleza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✅ [Módulo / Ítem]</w:t>
        <w:br/>
        <w:t xml:space="preserve">   Puntuación: [D/E — X.X/5]</w:t>
        <w:br/>
        <w:t xml:space="preserve">   "[Descripción breve de la práctica que demuestra madurez]"</w:t>
        <w:br/>
      </w:r>
    </w:p>
    <w:p>
      <w:r>
        <w:rPr>
          <w:b/>
        </w:rPr>
        <w:t>Nota</w:t>
      </w:r>
      <w:r>
        <w:t>: Seleccionar los 5 ítems con mayor puntuación (D o E) de la hoja RESPUESTAS.</w:t>
      </w:r>
    </w:p>
    <w:p>
      <w:pPr>
        <w:pStyle w:val="Heading3"/>
        <w:keepNext/>
        <w:keepLines/>
      </w:pPr>
      <w:r>
        <w:t>DIAPOSITIVA 9 — TOP 5 ÁREAS CRÍTICAS</w:t>
      </w:r>
    </w:p>
    <w:p>
      <w:r>
        <w:rPr>
          <w:b/>
        </w:rPr>
        <w:t>Diseño</w:t>
      </w:r>
      <w:r>
        <w:t>: Fondo rojo muy claro, 5 tarjetas con icono de alerta + texto.</w:t>
      </w:r>
    </w:p>
    <w:p>
      <w:r>
        <w:rPr>
          <w:b/>
        </w:rPr>
        <w:t>Formato por área crítica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⚠️ [Módulo / Ítem]</w:t>
        <w:br/>
        <w:t xml:space="preserve">   Respuesta actual: [A/B — X/5]</w:t>
        <w:br/>
        <w:t xml:space="preserve">   Riesgo regulatorio: [Artículo RGPD/AI Act]</w:t>
        <w:br/>
        <w:t xml:space="preserve">   Sanción máxima aplicable: [€]</w:t>
        <w:br/>
        <w:t xml:space="preserve">   "[Descripción concisa del riesgo]"</w:t>
        <w:br/>
      </w:r>
    </w:p>
    <w:p>
      <w:r>
        <w:rPr>
          <w:b/>
        </w:rPr>
        <w:t>Nota</w:t>
      </w:r>
      <w:r>
        <w:t>: Seleccionar los 5 ítems con menor puntuación (A o B) con mayor riesgo regulatorio (ver mapeo normativo).</w:t>
      </w:r>
    </w:p>
    <w:p>
      <w:pPr>
        <w:pStyle w:val="Heading3"/>
        <w:keepNext/>
        <w:keepLines/>
      </w:pPr>
      <w:r>
        <w:t>DIAPOSITIVA 10 — ANÁLISIS MODULAR: INDICADORES L, I, NR (Módulos 1–3)</w:t>
      </w:r>
    </w:p>
    <w:p>
      <w:r>
        <w:rPr>
          <w:b/>
        </w:rPr>
        <w:t>Diseño</w:t>
      </w:r>
      <w:r>
        <w:t>: 3 columnas, cada una con semáforo + puntuación + insight clave.</w:t>
      </w:r>
    </w:p>
    <w:p>
      <w:r>
        <w:rPr>
          <w:b/>
        </w:rPr>
        <w:t>Columna 1 — LINKING (M1)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🔵 VINCULACIÓN</w:t>
        <w:br/>
        <w:t>IGM M1: X.X/5 [Semáforo]</w:t>
        <w:br/>
        <w:br/>
        <w:t>Insight: [Texto generado según respuestas]</w:t>
        <w:br/>
        <w:t>Mayor riesgo: P1.X ([Respuesta A/B])</w:t>
        <w:br/>
        <w:t>Acción prioritaria: [Descripción breve]</w:t>
        <w:br/>
      </w:r>
    </w:p>
    <w:p>
      <w:r>
        <w:rPr>
          <w:b/>
        </w:rPr>
        <w:t>Columna 2 — IDENTIFYING (M2)</w:t>
      </w:r>
      <w:r>
        <w:t>: [Misma estructura]</w:t>
      </w:r>
    </w:p>
    <w:p>
      <w:r>
        <w:rPr>
          <w:b/>
        </w:rPr>
        <w:t>Columna 3 — NON-REPUDIATION (M3)</w:t>
      </w:r>
      <w:r>
        <w:t>: [Misma estructura]</w:t>
      </w:r>
    </w:p>
    <w:p>
      <w:pPr>
        <w:pStyle w:val="Heading3"/>
        <w:keepNext/>
        <w:keepLines/>
      </w:pPr>
      <w:r>
        <w:t>DIAPOSITIVA 11 — ANÁLISIS MODULAR: INDICADORES D, DD, U (Módulos 4–6)</w:t>
      </w:r>
    </w:p>
    <w:p>
      <w:r>
        <w:rPr>
          <w:b/>
        </w:rPr>
        <w:t>Diseño</w:t>
      </w:r>
      <w:r>
        <w:t>: Mismo formato que Diapositiva 10, con Detecting, Data Disclosure y Unawareness.</w:t>
      </w:r>
    </w:p>
    <w:p>
      <w:pPr>
        <w:pStyle w:val="Heading3"/>
        <w:keepNext/>
        <w:keepLines/>
      </w:pPr>
      <w:r>
        <w:t>DIAPOSITIVA 12 — ANÁLISIS MODULAR: NON-COMPLIANCE, INACCURACY/EXCLUSION Y GOBERNANZA (Módulos 7–9)</w:t>
      </w:r>
    </w:p>
    <w:p>
      <w:r>
        <w:rPr>
          <w:b/>
        </w:rPr>
        <w:t>Diseño</w:t>
      </w:r>
      <w:r>
        <w:t>: Mismo formato que Diapositivas 10–11.</w:t>
      </w:r>
    </w:p>
    <w:p>
      <w:pPr>
        <w:pStyle w:val="Heading3"/>
        <w:keepNext/>
        <w:keepLines/>
      </w:pPr>
      <w:r>
        <w:t>DIAPOSITIVA 13 — MÓDULO IA Y TECNOLOGÍA (M10)</w:t>
      </w:r>
    </w:p>
    <w:p>
      <w:r>
        <w:rPr>
          <w:b/>
        </w:rPr>
        <w:t>Diseño</w:t>
      </w:r>
      <w:r>
        <w:t>: Diapositiva especial con destacado de la novedad AI Act 2025.</w:t>
      </w:r>
    </w:p>
    <w:p>
      <w:r>
        <w:rPr>
          <w:b/>
        </w:rPr>
        <w:t>Contenido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INTELIGENCIA ARTIFICIAL Y PRIVACIDAD — EL NUEVO FRENTE REGULATORIO</w:t>
        <w:br/>
        <w:br/>
        <w:t>IGM M10: X.X/5  [Semáforo]</w:t>
        <w:br/>
        <w:br/>
        <w:t>[Infografía: 4 áreas del módulo con estado actual]</w:t>
        <w:br/>
        <w:br/>
        <w:t>ESTADO AI ACT EN LA ORGANIZACIÓN:</w:t>
        <w:br/>
        <w:t>• Inventario de sistemas IA: [Completado / En proceso / No iniciado]</w:t>
        <w:br/>
        <w:t>• Clasificación por nivel de riesgo: [Completado / En proceso / No iniciado]</w:t>
        <w:br/>
        <w:t>• Evaluación impacto derechos fundamentales: [Completado / En proceso / No iniciado]</w:t>
        <w:br/>
        <w:t>• Gobernanza IA agéntica: [Completado / En proceso / No iniciado]</w:t>
        <w:br/>
        <w:br/>
        <w:t xml:space="preserve">⚡ RECORDATORIO: Las obligaciones de alto riesgo del AI Act son aplicables </w:t>
        <w:br/>
        <w:t xml:space="preserve">   desde agosto de 2026. Tiempo disponible: [N meses].</w:t>
        <w:br/>
      </w:r>
    </w:p>
    <w:p>
      <w:pPr>
        <w:pStyle w:val="Heading3"/>
        <w:keepNext/>
        <w:keepLines/>
      </w:pPr>
      <w:r>
        <w:t>DIAPOSITIVA 14 — ANÁLISIS ROI: COSTE DE NO CUMPLIMIENTO</w:t>
      </w:r>
    </w:p>
    <w:p>
      <w:r>
        <w:rPr>
          <w:b/>
        </w:rPr>
        <w:t>Diseño</w:t>
      </w:r>
      <w:r>
        <w:t>: Infografía tipo "iceberg", con costes visibles e invisibles.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COSTES VISIBLES (PUNTA DEL ICEBERG)</w:t>
        <w:br/>
        <w:t>💰 Sanciones AEPD/EDPB esperadas:   [€ estimado]</w:t>
        <w:br/>
        <w:br/>
        <w:t>════════════════════════════════════ LÍNEA DE FLOTACIÓN</w:t>
        <w:br/>
        <w:br/>
        <w:t>COSTES OCULTOS (MASA SUMERGIDA)</w:t>
        <w:br/>
        <w:t>🔍 Costes de respuesta a brecha:     [€ estimado]</w:t>
        <w:br/>
        <w:t>⚖️ Litigios y reclamaciones:         [€ estimado]</w:t>
        <w:br/>
        <w:t>📉 Daño reputacional:                [€ estimado]</w:t>
        <w:br/>
        <w:t>⏸️ Suspensión operativa:             [€/día × días]</w:t>
        <w:br/>
        <w:t>🔧 Medidas correctoras ordenadas:    [€ estimado]</w:t>
        <w:br/>
        <w:br/>
        <w:t>TOTAL COSTE DE NO CUMPLIMIENTO (3 años): [€ TOTAL]</w:t>
        <w:br/>
      </w:r>
    </w:p>
    <w:p>
      <w:pPr>
        <w:pStyle w:val="Heading3"/>
        <w:keepNext/>
        <w:keepLines/>
      </w:pPr>
      <w:r>
        <w:t>DIAPOSITIVA 15 — ANÁLISIS ROI: INVERSIÓN Y RETORNO</w:t>
      </w:r>
    </w:p>
    <w:p>
      <w:r>
        <w:rPr>
          <w:b/>
        </w:rPr>
        <w:t>Diseño</w:t>
      </w:r>
      <w:r>
        <w:t>: Gráfico de barras comparativo + indicadores clave.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INVERSIÓN ANUAL EN CUMPLIMIENTO: [€ IC]</w:t>
        <w:br/>
        <w:t>AHORRO ANUAL ESTIMADO (CNC – IC): [€]</w:t>
        <w:br/>
        <w:br/>
        <w:t>ROI DE LA INVERSIÓN EN PRIVACIDAD: [XXX%]</w:t>
        <w:br/>
        <w:t>[Gráfico de barras: Año 0 (inversión) vs. Año 1, 2, 3 (ahorro acumulado)]</w:t>
        <w:br/>
        <w:br/>
        <w:t>Período de recuperación: [X,X meses]</w:t>
        <w:br/>
        <w:br/>
        <w:t>"Por cada € invertido en privacidad, se evitan X€ de coste de no cumplimiento"</w:t>
        <w:br/>
      </w:r>
    </w:p>
    <w:p>
      <w:pPr>
        <w:pStyle w:val="Heading3"/>
        <w:keepNext/>
        <w:keepLines/>
      </w:pPr>
      <w:r>
        <w:t>DIAPOSITIVA 16 — PLAN DE ACCIÓN PRIORIZADO</w:t>
      </w:r>
    </w:p>
    <w:p>
      <w:r>
        <w:rPr>
          <w:b/>
        </w:rPr>
        <w:t>Diseño</w:t>
      </w:r>
      <w:r>
        <w:t>: Tabla de 3 columnas de prioridad temporal.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INMEDIATO (0–3 meses)    │    CORTO PLAZO (3–6 m)    │    MEDIO PLAZO (6–12 m)</w:t>
        <w:br/>
        <w:t>─────────────────────────┼───────────────────────────┼─────────────────────────</w:t>
        <w:br/>
        <w:t>1. [Acción — €]          │  1. [Acción — €]           │  1. [Acción — €]</w:t>
        <w:br/>
        <w:t>2. [Acción — €]          │  2. [Acción — €]           │  2. [Acción — €]</w:t>
        <w:br/>
        <w:t>3. [Acción — €]          │  3. [Acción — €]           │  3. [Acción — €]</w:t>
        <w:br/>
        <w:t>─────────────────────────┼───────────────────────────┼─────────────────────────</w:t>
        <w:br/>
        <w:t>Subtotal: [€]            │  Subtotal: [€]             │  Subtotal: [€]</w:t>
        <w:br/>
        <w:t>IGM proyectado: +X%      │  IGM proyectado: +X%       │  IGM proyectado: +X%</w:t>
        <w:br/>
      </w:r>
    </w:p>
    <w:p>
      <w:r>
        <w:rPr>
          <w:b/>
        </w:rPr>
        <w:t>Pie de diapositiva</w:t>
      </w:r>
      <w:r>
        <w:t>: "Inversión total estimada: [€] | IGM proyectado tras implementación: [XX%]"</w:t>
      </w:r>
    </w:p>
    <w:p>
      <w:pPr>
        <w:pStyle w:val="Heading3"/>
        <w:keepNext/>
        <w:keepLines/>
      </w:pPr>
      <w:r>
        <w:t>DIAPOSITIVA 17 — BENCHMARKING SECTORIAL</w:t>
      </w:r>
    </w:p>
    <w:p>
      <w:r>
        <w:rPr>
          <w:b/>
        </w:rPr>
        <w:t>Diseño</w:t>
      </w:r>
      <w:r>
        <w:t>: Gráfico de posicionamiento relativo.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POSICIÓN DE [ORGANIZACIÓN] EN EL SECTOR [SECTOR]</w:t>
        <w:br/>
        <w:t>[Gráfico de cuadrantes o percentiles]</w:t>
        <w:br/>
        <w:br/>
        <w:t>IGM actual:              [XX%]</w:t>
        <w:br/>
        <w:t>Mediana sectorial:       [XX%]</w:t>
        <w:br/>
        <w:t>Cuartil superior:        [XX%]</w:t>
        <w:br/>
        <w:t>Mejor práctica sectorial:[XX%]</w:t>
        <w:br/>
        <w:br/>
        <w:t>Posición: "[Top 25% / Entre 50-75% / etc.]"</w:t>
        <w:br/>
      </w:r>
    </w:p>
    <w:p>
      <w:pPr>
        <w:pStyle w:val="Heading3"/>
        <w:keepNext/>
        <w:keepLines/>
      </w:pPr>
      <w:r>
        <w:t>DIAPOSITIVA 18 — CONCLUSIONES Y PRÓXIMOS PASOS</w:t>
      </w:r>
    </w:p>
    <w:p>
      <w:r>
        <w:rPr>
          <w:b/>
        </w:rPr>
        <w:t>Diseño</w:t>
      </w:r>
      <w:r>
        <w:t>: Fondo azul oscuro, texto blanco. Impacto visual máximo.</w:t>
      </w:r>
    </w:p>
    <w:p>
      <w:r>
        <w:rPr>
          <w:b/>
        </w:rPr>
        <w:t>Contenido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TRES CONCLUSIONES CLAVE:</w:t>
        <w:br/>
        <w:br/>
        <w:t>1️⃣ [Fortaleza principal de la organización]</w:t>
        <w:br/>
        <w:t>2️⃣ [Área crítica más urgente con su riesgo asociado]</w:t>
        <w:br/>
        <w:t>3️⃣ [Oportunidad estratégica identificada]</w:t>
        <w:br/>
        <w:br/>
        <w:t>─────────────────────────────────────────────────────────</w:t>
        <w:br/>
        <w:br/>
        <w:t>PRÓXIMAS ACCIONES ACORDADAS:</w:t>
        <w:br/>
        <w:br/>
        <w:t>✅ [Acción 1] — Responsable: [Nombre] — Fecha: [DD/MM]</w:t>
        <w:br/>
        <w:t>✅ [Acción 2] — Responsable: [Nombre] — Fecha: [DD/MM]</w:t>
        <w:br/>
        <w:t>✅ [Acción 3] — Responsable: [Nombre] — Fecha: [DD/MM]</w:t>
        <w:br/>
        <w:br/>
        <w:t>─────────────────────────────────────────────────────────</w:t>
        <w:br/>
        <w:br/>
        <w:t>FECHA DEL PRÓXIMO DIAGNÓSTICO: [DD/MM/AAAA]</w:t>
        <w:br/>
      </w:r>
    </w:p>
    <w:p>
      <w:pPr>
        <w:pStyle w:val="Heading2"/>
        <w:keepNext/>
        <w:keepLines/>
      </w:pPr>
      <w:r>
        <w:rPr>
          <w:color w:val="0066CC"/>
        </w:rPr>
        <w:t>DIAPOSITIVAS ADICIONALES (APÉNDICE)</w:t>
      </w:r>
    </w:p>
    <w:p>
      <w:pPr>
        <w:pStyle w:val="Heading3"/>
        <w:keepNext/>
        <w:keepLines/>
      </w:pPr>
      <w:r>
        <w:t>Diapositiva A1 — Glosario de Términos LINDDUN</w:t>
      </w:r>
    </w:p>
    <w:p>
      <w:r>
        <w:t>Definición breve de los 7 indicadores LINDDUN + los 3 adicionales LIINE4DU, con ejemplos concretos del sector de la organización.</w:t>
      </w:r>
    </w:p>
    <w:p>
      <w:pPr>
        <w:pStyle w:val="Heading3"/>
        <w:keepNext/>
        <w:keepLines/>
      </w:pPr>
      <w:r>
        <w:t>Diapositiva A2 — Marco Normativo de Referencia</w:t>
      </w:r>
    </w:p>
    <w:p>
      <w:r>
        <w:t>Tabla resumen de los artículos RGPD/AI Act/NIS2/ENS más relevantes para el sector, con estado de implementación (Conforme / Parcial / Pendiente).</w:t>
      </w:r>
    </w:p>
    <w:p>
      <w:pPr>
        <w:pStyle w:val="Heading3"/>
        <w:keepNext/>
        <w:keepLines/>
      </w:pPr>
      <w:r>
        <w:t>Diapositiva A3 — Metodología de Puntuación</w:t>
      </w:r>
    </w:p>
    <w:p>
      <w:r>
        <w:t>Explicación visual de la escala A–E, el cálculo del IGM y los pesos de cada módulo.</w:t>
      </w:r>
    </w:p>
    <w:p>
      <w:pPr>
        <w:pStyle w:val="Heading3"/>
        <w:keepNext/>
        <w:keepLines/>
      </w:pPr>
      <w:r>
        <w:t>Diapositiva A4 — Detalle de Respuestas por Módulo</w:t>
      </w:r>
    </w:p>
    <w:p>
      <w:r>
        <w:t>Tabla completa de todas las respuestas (42 ítems), exportada desde la Hoja 2 (RESPUESTAS) del libro Excel.</w:t>
      </w:r>
    </w:p>
    <w:p>
      <w:pPr>
        <w:pStyle w:val="Heading2"/>
        <w:keepNext/>
        <w:keepLines/>
      </w:pPr>
      <w:r>
        <w:rPr>
          <w:color w:val="0066CC"/>
        </w:rPr>
        <w:t>INSTRUCCIONES DE IMPLEMENTACIÓN EN POWERPOINT</w:t>
      </w:r>
    </w:p>
    <w:p>
      <w:pPr>
        <w:pStyle w:val="ListNumber"/>
        <w:keepLines w:val="1"/>
        <w:keepNext w:val="1"/>
        <w:widowControl w:val="1"/>
      </w:pPr>
      <w:r>
        <w:t>Abrir PowerPoint 365 o 2021.</w:t>
      </w:r>
    </w:p>
    <w:p>
      <w:pPr>
        <w:pStyle w:val="ListNumber"/>
        <w:keepLines w:val="1"/>
        <w:keepNext w:val="1"/>
        <w:widowControl w:val="1"/>
      </w:pPr>
      <w:r>
        <w:t>Crear una nueva presentación en blanco formato 16:9.</w:t>
      </w:r>
    </w:p>
    <w:p>
      <w:pPr>
        <w:pStyle w:val="ListNumber"/>
        <w:keepLines w:val="1"/>
        <w:keepNext w:val="1"/>
        <w:widowControl w:val="1"/>
      </w:pPr>
      <w:r>
        <w:t>Aplicar el tema de color personalizado (Diseño &gt; Colores &gt; Personalizar colores) con los HEX indicados.</w:t>
      </w:r>
    </w:p>
    <w:p>
      <w:pPr>
        <w:pStyle w:val="ListNumber"/>
        <w:keepLines w:val="1"/>
        <w:keepNext w:val="1"/>
        <w:widowControl w:val="1"/>
      </w:pPr>
      <w:r>
        <w:t>Configurar el patrón de diapositivas (Vista &gt; Patrón de diapositivas) con las bandas superior e inferior.</w:t>
      </w:r>
    </w:p>
    <w:p>
      <w:pPr>
        <w:pStyle w:val="ListNumber"/>
        <w:keepLines w:val="1"/>
        <w:keepNext w:val="1"/>
        <w:widowControl w:val="1"/>
      </w:pPr>
      <w:r>
        <w:t>Crear diapositivas según la especificación de cada una.</w:t>
      </w:r>
    </w:p>
    <w:p>
      <w:pPr>
        <w:pStyle w:val="ListNumber"/>
        <w:keepLines w:val="1"/>
        <w:keepNext w:val="1"/>
        <w:widowControl w:val="1"/>
      </w:pPr>
      <w:r>
        <w:t>Para el gráfico radar (Diapositiva 6): Insertar &gt; Gráfico &gt; Radial &gt; Radial relleno.</w:t>
      </w:r>
    </w:p>
    <w:p>
      <w:pPr>
        <w:pStyle w:val="ListNumber"/>
        <w:keepLines w:val="1"/>
        <w:keepNext w:val="1"/>
        <w:widowControl w:val="1"/>
      </w:pPr>
      <w:r>
        <w:t>Vincular datos del Excel: En PowerPoint, seleccionar el gráfico &gt; Diseño del gráfico &gt; Editar datos en Excel (permite vincular al libro IGM_ROI.xlsx).</w:t>
      </w:r>
    </w:p>
    <w:p>
      <w:pPr>
        <w:pStyle w:val="ListNumber"/>
        <w:keepLines w:val="1"/>
        <w:widowControl w:val="1"/>
      </w:pPr>
      <w:r>
        <w:t>Exportar versión final en PDF para distribución (preserva el diseño).</w:t>
      </w:r>
    </w:p>
    <w:p>
      <w:r>
        <w:rPr>
          <w:i/>
        </w:rPr>
        <w:t>Especificación de presentación elaborada para PowerPoint 365 y compatible con LibreOffice Impress. Versión 1.0 — Abril 2026.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