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Versión 1.0 – Ejemplo de evaluación PRAGMATIC de métricas SIEM derivadas del marco GQM.</w:t>
      </w:r>
    </w:p>
    <w:p>
      <w:pPr>
        <w:pStyle w:val="Heading2"/>
        <w:keepNext/>
        <w:keepLines/>
      </w:pPr>
      <w:r>
        <w:rPr>
          <w:color w:val="0066CC"/>
        </w:rPr>
        <w:t>1. Leyenda</w:t>
      </w:r>
    </w:p>
    <w:p>
      <w:r>
        <w:t>Escala de puntuación por criterio:</w:t>
      </w:r>
    </w:p>
    <w:p>
      <w:pPr>
        <w:pStyle w:val="ListBullet"/>
        <w:keepLines w:val="1"/>
        <w:keepNext w:val="1"/>
        <w:widowControl w:val="1"/>
      </w:pPr>
      <w:r>
        <w:t>0 = Muy débil / no cumple el criterio.</w:t>
      </w:r>
    </w:p>
    <w:p>
      <w:pPr>
        <w:pStyle w:val="ListBullet"/>
        <w:keepLines w:val="1"/>
        <w:keepNext w:val="1"/>
        <w:widowControl w:val="1"/>
      </w:pPr>
      <w:r>
        <w:t>1 = Cumple parcialmente.</w:t>
      </w:r>
    </w:p>
    <w:p>
      <w:pPr>
        <w:pStyle w:val="ListBullet"/>
        <w:keepLines w:val="1"/>
        <w:keepNext w:val="1"/>
        <w:widowControl w:val="1"/>
      </w:pPr>
      <w:r>
        <w:t>2 = Cumple adecuadamente.</w:t>
      </w:r>
    </w:p>
    <w:p>
      <w:pPr>
        <w:pStyle w:val="ListBullet"/>
        <w:keepLines w:val="1"/>
        <w:widowControl w:val="1"/>
      </w:pPr>
      <w:r>
        <w:t>3 = Cumple de forma excelente.</w:t>
      </w:r>
    </w:p>
    <w:p>
      <w:r>
        <w:t>Criterios:</w:t>
      </w:r>
    </w:p>
    <w:p>
      <w:pPr>
        <w:pStyle w:val="ListBullet"/>
        <w:keepLines w:val="1"/>
        <w:keepNext w:val="1"/>
        <w:widowControl w:val="1"/>
      </w:pPr>
      <w:r>
        <w:t xml:space="preserve">P – Predictivo  </w:t>
      </w:r>
    </w:p>
    <w:p>
      <w:pPr>
        <w:pStyle w:val="ListBullet"/>
        <w:keepLines w:val="1"/>
        <w:keepNext w:val="1"/>
        <w:widowControl w:val="1"/>
      </w:pPr>
      <w:r>
        <w:t xml:space="preserve">R – Relevante  </w:t>
      </w:r>
    </w:p>
    <w:p>
      <w:pPr>
        <w:pStyle w:val="ListBullet"/>
        <w:keepLines w:val="1"/>
        <w:keepNext w:val="1"/>
        <w:widowControl w:val="1"/>
      </w:pPr>
      <w:r>
        <w:t xml:space="preserve">A – Accionable  </w:t>
      </w:r>
    </w:p>
    <w:p>
      <w:pPr>
        <w:pStyle w:val="ListBullet"/>
        <w:keepLines w:val="1"/>
        <w:keepNext w:val="1"/>
        <w:widowControl w:val="1"/>
      </w:pPr>
      <w:r>
        <w:t xml:space="preserve">G – Genuino  </w:t>
      </w:r>
    </w:p>
    <w:p>
      <w:pPr>
        <w:pStyle w:val="ListBullet"/>
        <w:keepLines w:val="1"/>
        <w:keepNext w:val="1"/>
        <w:widowControl w:val="1"/>
      </w:pPr>
      <w:r>
        <w:t xml:space="preserve">M – Significativo  </w:t>
      </w:r>
    </w:p>
    <w:p>
      <w:pPr>
        <w:pStyle w:val="ListBullet"/>
        <w:keepLines w:val="1"/>
        <w:keepNext w:val="1"/>
        <w:widowControl w:val="1"/>
      </w:pPr>
      <w:r>
        <w:t xml:space="preserve">P2 – Preciso  </w:t>
      </w:r>
    </w:p>
    <w:p>
      <w:pPr>
        <w:pStyle w:val="ListBullet"/>
        <w:keepLines w:val="1"/>
        <w:keepNext w:val="1"/>
        <w:widowControl w:val="1"/>
      </w:pPr>
      <w:r>
        <w:t xml:space="preserve">T – Oportuno  </w:t>
      </w:r>
    </w:p>
    <w:p>
      <w:pPr>
        <w:pStyle w:val="ListBullet"/>
        <w:keepLines w:val="1"/>
        <w:keepNext w:val="1"/>
        <w:widowControl w:val="1"/>
      </w:pPr>
      <w:r>
        <w:t xml:space="preserve">I – Independiente  </w:t>
      </w:r>
    </w:p>
    <w:p>
      <w:pPr>
        <w:pStyle w:val="ListBullet"/>
        <w:keepLines w:val="1"/>
        <w:widowControl w:val="1"/>
      </w:pPr>
      <w:r>
        <w:t xml:space="preserve">C – Rentable  </w:t>
      </w:r>
    </w:p>
    <w:p>
      <w:pPr>
        <w:pStyle w:val="Heading2"/>
        <w:keepNext/>
        <w:keepLines/>
      </w:pPr>
      <w:r>
        <w:rPr>
          <w:color w:val="0066CC"/>
        </w:rPr>
        <w:t>2. Tabla de evaluación (ejemplo base)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                                   | P | R | A | G | M | P2 | T | I | C | Score total |</w:t>
        <w:br/>
        <w:t>|--------------------------------------------|---|---|---|---|---|----|---|---|---|------------|</w:t>
        <w:br/>
        <w:t>| M1.1 MTTD incidentes críticos              | 2 | 3 | 3 | 2 | 3 | 2  | 2 | 2 | 2 | 21         |</w:t>
        <w:br/>
        <w:t>| M1.2 MTTR hasta contención                 | 2 | 3 | 3 | 2 | 3 | 2  | 2 | 2 | 2 | 21         |</w:t>
        <w:br/>
        <w:t>| M1.3 Distribución MTTD por tipo incidente  | 2 | 3 | 2 | 2 | 3 | 2  | 1 | 2 | 1 | 18         |</w:t>
        <w:br/>
        <w:t>| M2.1 Plazo medio detección‑notificación    | 2 | 3 | 3 | 2 | 3 | 2  | 2 | 2 | 2 | 21         |</w:t>
        <w:br/>
        <w:t>| M2.2% incidentes notificados en plazo     | 2 | 3 | 3 | 2 | 3 | 2  | 2 | 2 | 2 | 21         |</w:t>
        <w:br/>
        <w:t>| M2.3 Índice de completitud de evidencias   | 1 | 3 | 2 | 2 | 3 | 2  | 1 | 2 | 1 | 17         |</w:t>
        <w:br/>
        <w:t>| M3.1% activos críticos monitorizados      | 1 | 3 | 2 | 2 | 3 | 2  | 1 | 2 | 2 | 18         |</w:t>
        <w:br/>
        <w:t>| M3.2% técnicas ATT&amp;CK cubiertas           | 2 | 3 | 2 | 2 | 3 | 2  | 1 | 2 | 1 | 18         |</w:t>
        <w:br/>
        <w:t>| M3.3 Latencia ingesta eventos críticos     | 1 | 2 | 2 | 2 | 2 | 2  | 3 | 2 | 2 | 18         |</w:t>
        <w:br/>
        <w:t>| M4.1% detecciones impulsadas por IA       | 2 | 2 | 2 | 1 | 2 | 1  | 2 | 1 | 1 | 14         |</w:t>
        <w:br/>
        <w:t>| M4.2% incidentes con respuesta automatiz. | 2 | 3 | 3 | 2 | 3 | 2  | 2 | 2 | 2 | 21         |</w:t>
        <w:br/>
        <w:t>| M4.3 Δ% falsos positivos tras IA           | 3 | 3 | 3 | 2 | 3 | 2  | 2 | 2 | 2 | 22         |</w:t>
        <w:br/>
        <w:t>| M5.1% comités riesgo con métricas SIEM    | 2 | 3 | 3 | 2 | 3 | 2  | 2 | 2 | 2 | 21         |</w:t>
        <w:br/>
        <w:t>| M5.2 Frecuencia anual de incidentes graves | 2 | 3 | 2 | 2 | 3 | 2  | 2 | 2 | 2 | 20         |</w:t>
        <w:br/>
        <w:t>| M5.3 Estimación de pérdidas evitadas (€)   | 3 | 3 | 3 | 1 | 3 | 1  | 2 | 1 | 2 | 19         |</w:t>
        <w:br/>
      </w:r>
    </w:p>
    <w:p>
      <w:pPr>
        <w:pStyle w:val="Heading3"/>
        <w:keepNext/>
        <w:keepLines/>
      </w:pPr>
      <w:r>
        <w:t>2.1 Comentarios orientativos</w:t>
      </w:r>
    </w:p>
    <w:p>
      <w:pPr>
        <w:pStyle w:val="ListBullet"/>
        <w:keepLines w:val="1"/>
        <w:keepNext w:val="1"/>
        <w:widowControl w:val="1"/>
      </w:pPr>
      <w:r>
        <w:t>Las métricas de tiempo (MTTD, MTTR, plazos de notificación) suelen puntuar alto en Relevante, Accionable y Significativo.</w:t>
      </w:r>
    </w:p>
    <w:p>
      <w:pPr>
        <w:pStyle w:val="ListBullet"/>
        <w:keepLines w:val="1"/>
        <w:keepNext w:val="1"/>
        <w:widowControl w:val="1"/>
      </w:pPr>
      <w:r>
        <w:t>Las métricas de estimación económica (pérdidas evitadas) son muy predictivas y accionables, pero tienden a puntuar más bajo en Genuino y Preciso.</w:t>
      </w:r>
    </w:p>
    <w:p>
      <w:pPr>
        <w:pStyle w:val="ListBullet"/>
        <w:keepLines w:val="1"/>
        <w:widowControl w:val="1"/>
      </w:pPr>
      <w:r>
        <w:t>Las métricas de IA pueden mejorar en Genuino e Independiente a medida que se dispone de mejores modelos y métodos de validación.</w:t>
      </w:r>
    </w:p>
    <w:p>
      <w:pPr>
        <w:pStyle w:val="Heading2"/>
        <w:keepNext/>
        <w:keepLines/>
      </w:pPr>
      <w:r>
        <w:rPr>
          <w:color w:val="0066CC"/>
        </w:rPr>
        <w:t>3. Uso de la matriz</w:t>
      </w:r>
    </w:p>
    <w:p>
      <w:pPr>
        <w:pStyle w:val="ListNumber"/>
        <w:keepLines w:val="1"/>
        <w:keepNext w:val="1"/>
        <w:widowControl w:val="1"/>
      </w:pPr>
      <w:r>
        <w:t>Ajustar las puntuaciones en función del contexto sectorial (p. ej., energía vs. banca vs. administración).</w:t>
      </w:r>
    </w:p>
    <w:p>
      <w:pPr>
        <w:pStyle w:val="ListNumber"/>
        <w:keepLines w:val="1"/>
        <w:keepNext w:val="1"/>
        <w:widowControl w:val="1"/>
      </w:pPr>
      <w:r>
        <w:t>Establecer un umbral mínimo para que una métrica sea considerada KPI estratégico.</w:t>
      </w:r>
    </w:p>
    <w:p>
      <w:pPr>
        <w:pStyle w:val="ListNumber"/>
        <w:keepLines w:val="1"/>
        <w:keepNext w:val="1"/>
        <w:widowControl w:val="1"/>
      </w:pPr>
      <w:r>
        <w:t>Documentar las justificaciones de cada puntuación en una columna adicional Comentario.</w:t>
      </w:r>
    </w:p>
    <w:p>
      <w:pPr>
        <w:pStyle w:val="ListNumber"/>
        <w:keepLines w:val="1"/>
        <w:widowControl w:val="1"/>
      </w:pPr>
      <w:r>
        <w:t>Revisar la matriz periódicamente (al menos cada 2–3 años).</w:t>
      </w:r>
    </w:p>
    <w:p>
      <w:r>
        <w:rPr>
          <w:i/>
        </w:rPr>
        <w:t>Fin de la matriz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