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objetivos GQM y métricas SIEM a requisitos normativos</w:t>
      </w:r>
    </w:p>
    <w:p>
      <w:r>
        <w:t>Versión 1.0 – Mapeo orientativo para NIS2, ENS, DORA y buenas prácticas ISO.</w:t>
      </w:r>
    </w:p>
    <w:p>
      <w:pPr>
        <w:pStyle w:val="Heading2"/>
        <w:keepNext/>
        <w:keepLines/>
      </w:pPr>
      <w:r>
        <w:rPr>
          <w:color w:val="0066CC"/>
        </w:rPr>
        <w:t>1. Tabla de mapeo GQM–normativa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Objetivo / Métrica                         | NIS2 (art.) | ENS (dominio)               | DORA / Sectorial                | Comentario de alineamiento básico                                   |</w:t>
        <w:br/>
        <w:t>|-------------------------------------------|-------------|-----------------------------|----------------------------------|------------------------------------------------------------------------|</w:t>
        <w:br/>
        <w:t>| G1 – Reducir MTTD/MTTR en incidentes      | 21, 23      | Operación, gestión incidentes| Resiliencia operativa            | Soporta gestión de incidentes y continuidad en servicios esenciales.  |</w:t>
        <w:br/>
        <w:t>| M1.1 MTTD incidentes críticos             | 21(2)       | Operación, monitorización   | Detección                        | Mide rapidez de detección frente a amenazas.                          |</w:t>
        <w:br/>
        <w:t>| M1.2 MTTR hasta contención                | 21(2),(3)   | Gestión de incidentes       | Recuperación                     | Refleja capacidad de respuesta y contención.                          |</w:t>
        <w:br/>
        <w:t>| M1.3 Distribución MTTD por tipo incidente | 21(2)       | Idem                        | Escenarios                       | Introduce granularidad por tipología de amenaza.                      |</w:t>
        <w:br/>
        <w:t>| G2 – Cumplimiento notificación NIS2/ENS   | 23          | Gestión de incidentes       | Requisitos de reporte            | Asegura plazos y calidad de notificación.                             |</w:t>
        <w:br/>
        <w:t>| M2.1 Plazo detección‑notificación         | 23(1)–(4)   | Registro &amp; comunicación     | Plazos de reporte                | KPI directo de diligencia en notificación.                            |</w:t>
        <w:br/>
        <w:t>| M2.2% incidentes en plazo                | 23(1)–(4)   | Idem                        | Idem                              | Indica cumplimiento operativo de la norma.                            |</w:t>
        <w:br/>
        <w:t>| M2.3 Índice completitud evidencias        | 23(4)       | Registro de actividad       | Evidencias para supervisores     | Evalúa solidez de la prueba técnica aportada.                         |</w:t>
        <w:br/>
        <w:t>| G3 – Calidad y cobertura de monitorización| 21(2),(3)   | Inventario, operación       | Gestión de activos críticos      | Centrado en activos esenciales IT/OT/5G.                              |</w:t>
        <w:br/>
        <w:t>| M3.1% activos críticos monitorizados     | 21(2)       | Inventario de activos       | Inventario TIC crítico           | Muestra qué parte del riesgo se ve realmente.                         |</w:t>
        <w:br/>
        <w:t>| M3.2% técnicas ATT&amp;CK cubiertas          | 21(2)       | Análisis de amenazas        | Escenarios de riesgo             | Alinea casos de uso con amenazas relevantes.                          |</w:t>
        <w:br/>
        <w:t>| M3.3 Latencia ingesta eventos críticos    | 21(2)       | Monitorización              | Supervisión continua             | Garantiza visibilidad casi en tiempo real.                            |</w:t>
        <w:br/>
        <w:t>| G4 – Uso efectivo de IA y automatización  | 21(2)       | Operación, eficiencia       | Optimización de controles        | Apoya la escalabilidad y reduce errores humanos.                      |</w:t>
        <w:br/>
        <w:t>| M4.1% detecciones impulsadas por IA      | 21(2)       | Mejora de detección         | Tecnologías avanzadas            | Indica grado de dependencia y aportación de modelos avanzados.        |</w:t>
        <w:br/>
        <w:t>| M4.2% incidentes con respuesta automatiz.| 21(2),(3)   | Gestión de incidentes       | Automatización de respuesta      | Relaciona SOAR con eficiencia y rapidez.                              |</w:t>
        <w:br/>
        <w:t>| M4.3 Δ% falsos positivos tras IA          | 21(2)       | Eficacia de controles       | Calidad de detección             | Mide impacto directo de IA sobre calidad de alertas.                  |</w:t>
        <w:br/>
        <w:t>| G5 – Integración SIEM–riesgo y ROI        | 21(2),(3)   | Gestión de riesgos          | Gestión del riesgo TIC           | Conecta SIEM con decisiones de inversión y apetito de riesgo.         |</w:t>
        <w:br/>
        <w:t>| M5.1% comités de riesgo con métricas SIEM| 21(3)       | Organización de la seguridad| Gobierno TIC                     | Mide integración de seguridad en la gobernanza.                       |</w:t>
        <w:br/>
        <w:t>| M5.2 Frecuencia anual de incidentes graves| 21(2),(3)   | Análisis de riesgos         | Indicadores de riesgo            | Permite estimar exposición residual.                                  |</w:t>
        <w:br/>
        <w:t>| M5.3 Estimación de pérdidas evitadas (€)  | 21(3)       | Proporcionalidad medidas    | Evaluación coste‑beneficio        | Justifica inversiones en controles de seguridad.                      |</w:t>
        <w:br/>
      </w:r>
    </w:p>
    <w:p>
      <w:pPr>
        <w:pStyle w:val="Heading2"/>
        <w:keepNext/>
        <w:keepLines/>
      </w:pPr>
      <w:r>
        <w:rPr>
          <w:color w:val="0066CC"/>
        </w:rPr>
        <w:t>2. Uso del mapeo</w:t>
      </w:r>
    </w:p>
    <w:p>
      <w:pPr>
        <w:pStyle w:val="ListBullet"/>
        <w:keepLines w:val="1"/>
        <w:keepNext w:val="1"/>
        <w:widowControl w:val="1"/>
      </w:pPr>
      <w:r>
        <w:t>Facilitar la conversación entre equipos técnicos, jurídicos y de cumplimiento.</w:t>
      </w:r>
    </w:p>
    <w:p>
      <w:pPr>
        <w:pStyle w:val="ListBullet"/>
        <w:keepLines w:val="1"/>
        <w:keepNext w:val="1"/>
        <w:widowControl w:val="1"/>
      </w:pPr>
      <w:r>
        <w:t>Priorizar métricas que aportan valor directo a las obligaciones normativas.</w:t>
      </w:r>
    </w:p>
    <w:p>
      <w:pPr>
        <w:pStyle w:val="ListBullet"/>
        <w:keepLines w:val="1"/>
        <w:widowControl w:val="1"/>
      </w:pPr>
      <w:r>
        <w:t>Vincular los resultados de la encuesta SIEM con los ejercicios de auditoría y supervisión.</w:t>
      </w:r>
    </w:p>
    <w:p>
      <w:r>
        <w:rPr>
          <w:i/>
        </w:rPr>
        <w:t>Fin del mapeo.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