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keepNext/>
        <w:keepLines/>
      </w:pPr>
      <w:r>
        <w:rPr>
          <w:color w:val="003366"/>
        </w:rPr>
        <w:t>Mapeo Detallado de Preguntas de la Encuesta a Requisitos Normativos y Marcos de Referencia</w:t>
      </w:r>
    </w:p>
    <w:p>
      <w:r>
        <w:t>Nota: Este mapeo tiene carácter orientativo. No sustituye a la interpretación jurídica ni a la lectura directa de las normas aplicables.</w:t>
      </w:r>
    </w:p>
    <w:p>
      <w:pPr>
        <w:pStyle w:val="Heading2"/>
        <w:keepNext/>
        <w:keepLines/>
      </w:pPr>
      <w:r>
        <w:rPr>
          <w:color w:val="0066CC"/>
        </w:rPr>
        <w:t>1. Leyenda de marcos y referencias</w:t>
      </w:r>
    </w:p>
    <w:p>
      <w:pPr>
        <w:pStyle w:val="ListBullet"/>
        <w:keepLines w:val="1"/>
        <w:keepNext w:val="1"/>
        <w:widowControl w:val="1"/>
      </w:pPr>
      <w:r>
        <w:t>NIS2: Directiva (UE) 2022/2555, especialmente:</w:t>
      </w:r>
    </w:p>
    <w:p>
      <w:pPr>
        <w:pStyle w:val="ListBullet"/>
        <w:keepLines w:val="1"/>
        <w:keepNext w:val="1"/>
        <w:widowControl w:val="1"/>
      </w:pPr>
      <w:r>
        <w:t>Art. 21: Gestión de riesgos de ciberseguridad.</w:t>
      </w:r>
    </w:p>
    <w:p>
      <w:pPr>
        <w:pStyle w:val="ListBullet"/>
        <w:keepLines w:val="1"/>
        <w:keepNext w:val="1"/>
        <w:widowControl w:val="1"/>
      </w:pPr>
      <w:r>
        <w:t>Art. 23: Notificación de incidentes.</w:t>
      </w:r>
    </w:p>
    <w:p>
      <w:pPr>
        <w:pStyle w:val="ListBullet"/>
        <w:keepLines w:val="1"/>
        <w:keepNext w:val="1"/>
        <w:widowControl w:val="1"/>
      </w:pPr>
      <w:r>
        <w:t>ENS: Esquema Nacional de Seguridad (España).</w:t>
      </w:r>
    </w:p>
    <w:p>
      <w:pPr>
        <w:pStyle w:val="ListBullet"/>
        <w:keepLines w:val="1"/>
        <w:keepNext w:val="1"/>
        <w:widowControl w:val="1"/>
      </w:pPr>
      <w:r>
        <w:t>DORA: Reglamento (UE) 2022/2554 sobre resiliencia operativa digital en el sector financiero.</w:t>
      </w:r>
    </w:p>
    <w:p>
      <w:pPr>
        <w:pStyle w:val="ListBullet"/>
        <w:keepLines w:val="1"/>
        <w:keepNext w:val="1"/>
        <w:widowControl w:val="1"/>
      </w:pPr>
      <w:r>
        <w:t>ISO 27001: Norma UNE-EN ISO/IEC 27001:2022.</w:t>
      </w:r>
    </w:p>
    <w:p>
      <w:pPr>
        <w:pStyle w:val="ListBullet"/>
        <w:keepLines w:val="1"/>
        <w:keepNext w:val="1"/>
        <w:widowControl w:val="1"/>
      </w:pPr>
      <w:r>
        <w:t>ENISA SOC/CSIRT: Guías de ENISA para configuración y operación de SOC y CSIRT.</w:t>
      </w:r>
    </w:p>
    <w:p>
      <w:pPr>
        <w:pStyle w:val="ListBullet"/>
        <w:keepLines w:val="1"/>
        <w:widowControl w:val="1"/>
      </w:pPr>
      <w:r>
        <w:t>Otros: Buenas prácticas generales e índices de capacidad (NCSI, etc.).</w:t>
      </w:r>
    </w:p>
    <w:p>
      <w:pPr>
        <w:pStyle w:val="Heading2"/>
        <w:keepNext/>
        <w:keepLines/>
      </w:pPr>
      <w:r>
        <w:rPr>
          <w:color w:val="0066CC"/>
        </w:rPr>
        <w:t>2. Tabla de mapeo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560"/>
        <w:gridCol w:w="1560"/>
        <w:gridCol w:w="1560"/>
        <w:gridCol w:w="1560"/>
        <w:gridCol w:w="1560"/>
        <w:gridCol w:w="1560"/>
      </w:tblGrid>
      <w:tr>
        <w:trPr>
          <w:cantSplit w:val="1"/>
        </w:trPr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Pregunta encuesta (sección / número)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Tema principal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NIS2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ENS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DORA</w:t>
            </w:r>
          </w:p>
        </w:tc>
        <w:tc>
          <w:tcPr>
            <w:tcW w:type="dxa" w:w="1560"/>
            <w:shd w:fill="0033CC"/>
          </w:tcPr>
          <w:p>
            <w:pPr>
              <w:keepLines w:val="1"/>
              <w:keepNext w:val="1"/>
            </w:pPr>
            <w:r>
              <w:rPr>
                <w:b/>
                <w:color w:val="FFFFFF"/>
              </w:rPr>
              <w:t>ISO 27001 / otros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1.1 Tipo de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 / clasificación entidad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2, 3 (ámbito entidades)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Ámbito subjetivo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Ámbito entidades financieras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contexto (cláusula 4)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1.2 Ámbito geográfico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Alcance territorial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Coordinación transfronteriza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 interno/externo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1.3 Tamaño organización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Escala, criticidad potencial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 medidas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Dimensionamiento del SGSI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1.4 Rol del encuestado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Gobernanza, responsabilidades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 (gobernanza)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de la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Responsabilidades directivas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 Liderazgo y compromiso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1.5 Modelo de 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de detección /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 (medidas técnicas)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Operación y explotación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A.5.23 Gestión de seguridad de la información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2.1 Existencia de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Capacidades de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de actividad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y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A.8.16 Monitorización de 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2.2 Tipo de solución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Arquitectura tecnológica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21(2),(5)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organizativas/técnicas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TIC y terceros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 6 planificación, A.5.21 nube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2.3 Cobertura de fuentes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Alcance de logging y telemetría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de actividad, protección de comunicaciones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A.8.16, A.8.20, A.5.10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2.4 Cobertura activos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de activos esenciales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Activos y servicios esenciales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activos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A.5.9 inventario, A.5.12 clasificación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2.5 Calidad de datos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y consistencia de registros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y trazabilidad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de datos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A.5.13, A.8.9 registro de eventos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2.6 Monitorización de identidad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Zero Trust, IAM, detección de abusos de credenciales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 de acceso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acceso y privilegios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A.5.17, A.5.18 control de acceso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3.1.1 Medición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Velocidad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 Art. 23(1)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Tiempos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A.8.16 monitorización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3.1.2 Cálculo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Definición formal del KPI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Procedimientos documentados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Medición de desempeño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 9 evaluación del desempeño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3.1.3 Objetivos de MTTD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Umbrales y objetivos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de seguridad requerido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SLA internos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Planificación de objetivos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3.1.4 Medición MTTR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Velocidad de respuesta /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Resiliencia operativa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A.5.24 gestión de incidentes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3.1.5 Segregación por tipo incidente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Granularidad de mediciones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21, 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Tipología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A.5.24, 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3.2.1 Tasa falsos positivos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Calidad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Eficacia de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Calidad de alertas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 (cláusula 10)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3.2.2 Conversión alerta‑incidente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Relevancia de alertas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Dimensionamiento de capacidades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eficacia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A.8.16, métricas internas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3.2.3 Alertas descartadas, errores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Control de errores y riesgos residuales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fallos de control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A.6.3 gestión de cambios, 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3.2.4 Carga por analista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Dimensionamiento SOC, fatiga de alerta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Recursos adecuados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Recursos operativos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A.7.4 recursos humanos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3.3.1 Inventario de activos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activos alineada con ENS/NIS2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Inventario de activos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activos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A.5.9, A.5.12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3.3.2 Cobertura MITRE ATT&amp;CK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Diseño de casos de uso alineados a amenazas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Análisis de amenazas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Escenarios de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Mejores prácticas SOC / ENISA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3.3.3 Latencia de ingesta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casi en tiempo real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Monitorización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3.3.4 Errores de parsing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de los registros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Registro y almacenamiento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Integridad y trazabilidad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A.8.9, 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4.1 Sujeción a NIS2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Clasificación entidad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2, 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–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Contexto y obligaciones legales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4.2 Uso del SIEM en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Evidencia técnica para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Obligación de registro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Obligaciones de reporte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A.5.24, 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4.3 KPIs de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Tiempos y calidad de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23(1)–(4)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ENS: gestión de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Plazos de notificación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Indicadores de desempeño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4.4 Mapeo casos de uso–controles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Trazabilidad entre controles y monitorización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Medidas de seguridad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Requisitos de control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Anexos A ISO 27001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4.5 Métricas de resiliencia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Conexión con continuidad de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Continuidad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Resiliencia operativa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22301, A.5.29 continuidad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5.1 Uso de IA/analítica avanzada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Tecnologías de detección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Adecuación de medios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Innovación tecnológica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Mejores prácticas de SOC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5.2 KPIs de IA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modelos avanzados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Efectividad de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 9 evaluación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5.3 Uso de SOAR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Automatización de respuesta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a incidentes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Respuesta y recuperación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A.5.24, A.8.16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5.4 Métricas de automatización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Eficiencia operativa del SOC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Eficiencia de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Optimización de procesos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 (cláusula 10)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5.5 Auto‑evaluación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Nivel global de capacidades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Adecuación del nivel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Capacidad operativa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Evaluación de madurez (frameworks varios)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6.1 Monitorización OT/ICS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Cobertura de infraestructuras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Sectoriales ENS (energía, etc.)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Infraestructura crítica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OT, IEC 62443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6.2 Métricas 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Detección y gestión de incidentes OT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Protección de sistemas ICS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Resiliencia en entornos críticos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OT, guías sectoriales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6.3 Monitorización 5G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Telecomunicaciones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ENS sector telecom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Infraestructuras críticas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Recomendaciones 5G (ENISA, 3GPP)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7.1 Indicadores de riesgo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Conexión SIEM–riesgo de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 riesgos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del riesgo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ISO 27005, marcos de riesgo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7.2 Índice global de madurez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Modelo IGM / madurez SIEM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Declaración de conformidad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Evaluaciones periódicas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Cláusula 9 y 10 ISO 27001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7.3 Uso del SIEM para ROI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Justificación económica de inversiones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21(2),(3)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Proporcionalidad ENS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Coste/beneficio de controles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Gestión financiera de seguridad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7.4 Participación de riesgo/negocio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Gobernanza y alineamiento con negocio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20, 21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Organización de la seguridad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Gobierno TIC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A.5.1, A.5.4 roles y responsabilidades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8.1 Compartición con CERT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Colaboración y reporte nacional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26, 27 (cooperación)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Relaciones con CSIRT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Cooperación con autoridades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ENISA CSIRT frameworks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  <w:keepNext w:val="1"/>
            </w:pPr>
            <w:r>
              <w:t>8.2 Referencias ENISA/NCSI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Benchmarking y comparaciones internacionales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Art. 21(3), 27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Mejora continua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Evaluaciones comparativas</w:t>
            </w:r>
          </w:p>
        </w:tc>
        <w:tc>
          <w:tcPr>
            <w:tcW w:type="dxa" w:w="1560"/>
          </w:tcPr>
          <w:p>
            <w:pPr>
              <w:keepLines w:val="1"/>
              <w:keepNext w:val="1"/>
            </w:pPr>
            <w:r>
              <w:t>NCSI y buenas prácticas</w:t>
            </w:r>
          </w:p>
        </w:tc>
      </w:tr>
      <w:tr>
        <w:trPr>
          <w:cantSplit w:val="1"/>
        </w:trPr>
        <w:tc>
          <w:tcPr>
            <w:tcW w:type="dxa" w:w="1560"/>
          </w:tcPr>
          <w:p>
            <w:pPr>
              <w:keepLines w:val="1"/>
            </w:pPr>
            <w:r>
              <w:t>9.1–9.4 Preguntas abiertas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Lecciones aprendidas y propuestas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Art. 21(3)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Mejora continua ENS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Ciclo de aprendizaje</w:t>
            </w:r>
          </w:p>
        </w:tc>
        <w:tc>
          <w:tcPr>
            <w:tcW w:type="dxa" w:w="1560"/>
          </w:tcPr>
          <w:p>
            <w:pPr>
              <w:keepLines w:val="1"/>
            </w:pPr>
            <w:r>
              <w:t>Cláusula 10 mejora continua</w:t>
            </w:r>
          </w:p>
        </w:tc>
      </w:tr>
    </w:tbl>
    <w:p/>
    <w:p>
      <w:pPr>
        <w:pStyle w:val="Heading2"/>
        <w:keepNext/>
        <w:keepLines/>
      </w:pPr>
      <w:r>
        <w:rPr>
          <w:color w:val="0066CC"/>
        </w:rPr>
        <w:t>3. Uso práctico del mapeo</w:t>
      </w:r>
    </w:p>
    <w:p>
      <w:pPr>
        <w:pStyle w:val="ListBullet"/>
        <w:keepLines w:val="1"/>
        <w:keepNext w:val="1"/>
        <w:widowControl w:val="1"/>
      </w:pPr>
      <w:r>
        <w:t>Para cada bloque de análisis, se pueden agrupar las respuestas según los marcos relevantes.</w:t>
      </w:r>
    </w:p>
    <w:p>
      <w:pPr>
        <w:pStyle w:val="ListBullet"/>
        <w:keepLines w:val="1"/>
        <w:keepNext w:val="1"/>
        <w:widowControl w:val="1"/>
      </w:pPr>
      <w:r>
        <w:t>Las organizaciones pueden utilizar el mapeo para revisar su grado de alineamiento normativo y detectar lagunas específicas (por ejemplo, fuerte foco en operación pero débil conexión con obligaciones de notificación).</w:t>
      </w:r>
    </w:p>
    <w:p>
      <w:pPr>
        <w:pStyle w:val="ListBullet"/>
        <w:keepLines w:val="1"/>
        <w:widowControl w:val="1"/>
      </w:pPr>
      <w:r>
        <w:t>Reguladores y CERT pueden cruzar la información con planes de acción y guías de mejora.</w:t>
      </w:r>
    </w:p>
    <w:p>
      <w:r>
        <w:rPr>
          <w:i/>
        </w:rPr>
        <w:t>Fin del mapeo.</w:t>
      </w:r>
    </w:p>
    <w:sectPr w:rsidR="00FC693F" w:rsidRPr="0006063C" w:rsidSect="00034616">
      <w:headerReference w:type="default" r:id="rId9"/>
      <w:pgSz w:w="12240" w:h="15840"/>
      <w:pgMar w:top="216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drawing>
        <wp:inline xmlns:a="http://schemas.openxmlformats.org/drawingml/2006/main" xmlns:pic="http://schemas.openxmlformats.org/drawingml/2006/picture">
          <wp:extent cx="5943600" cy="310597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NCIBE+U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5943600" cy="310597"/>
                  </a:xfrm>
                  <a:prstGeom prst="rect"/>
                </pic:spPr>
              </pic:pic>
            </a:graphicData>
          </a:graphic>
        </wp:inline>
      </w:drawing>
    </w:r>
  </w:p>
  <w:p>
    <w:pPr>
      <w:spacing w:after="120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