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Basado en la Encuesta SIEM</w:t>
      </w:r>
    </w:p>
    <w:p>
      <w:r>
        <w:t>Guía para construir una presentación ejecutiva (PowerPoint, Keynote, etc.) a partir de los resultados de la encuesta de indicadores SIEM.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“Estado de la monitorización de seguridad y uso del SIEM en [Sector/País] – Año [AAAA]”.</w:t>
      </w:r>
    </w:p>
    <w:p>
      <w:pPr>
        <w:pStyle w:val="ListBullet"/>
        <w:keepLines w:val="1"/>
        <w:keepNext w:val="1"/>
        <w:widowControl w:val="1"/>
      </w:pPr>
      <w:r>
        <w:t>Subtítulo: “Resultados de la encuesta de indicadores y métricas SIEM”.</w:t>
      </w:r>
    </w:p>
    <w:p>
      <w:pPr>
        <w:pStyle w:val="ListBullet"/>
        <w:keepLines w:val="1"/>
        <w:keepNext w:val="1"/>
        <w:widowControl w:val="1"/>
      </w:pPr>
      <w:r>
        <w:t>Elementos:</w:t>
      </w:r>
    </w:p>
    <w:p>
      <w:pPr>
        <w:pStyle w:val="ListBullet"/>
        <w:keepLines w:val="1"/>
        <w:keepNext w:val="1"/>
        <w:widowControl w:val="1"/>
      </w:pPr>
      <w:r>
        <w:t>Logotipo de la organización responsable del estudio.</w:t>
      </w:r>
    </w:p>
    <w:p>
      <w:pPr>
        <w:pStyle w:val="ListBullet"/>
        <w:keepLines w:val="1"/>
        <w:keepNext w:val="1"/>
        <w:widowControl w:val="1"/>
      </w:pPr>
      <w:r>
        <w:t>Fecha de emisión del informe.</w:t>
      </w:r>
    </w:p>
    <w:p>
      <w:pPr>
        <w:pStyle w:val="ListBullet"/>
        <w:keepLines w:val="1"/>
        <w:widowControl w:val="1"/>
      </w:pPr>
      <w:r>
        <w:t>Datos de contacto del equipo responsable.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Objetivo:</w:t>
      </w:r>
    </w:p>
    <w:p>
      <w:pPr>
        <w:pStyle w:val="ListBullet"/>
        <w:keepLines w:val="1"/>
        <w:keepNext w:val="1"/>
        <w:widowControl w:val="1"/>
      </w:pPr>
      <w:r>
        <w:t>Explicar en 3–5 frases qué se ha medido y por qué.</w:t>
      </w:r>
    </w:p>
    <w:p>
      <w:pPr>
        <w:pStyle w:val="ListBullet"/>
        <w:keepLines w:val="1"/>
        <w:keepNext w:val="1"/>
        <w:widowControl w:val="1"/>
      </w:pPr>
      <w:r>
        <w:t>Puntos clave (ejemplo):</w:t>
      </w:r>
    </w:p>
    <w:p>
      <w:pPr>
        <w:pStyle w:val="ListBullet"/>
        <w:keepLines w:val="1"/>
        <w:keepNext w:val="1"/>
        <w:widowControl w:val="1"/>
      </w:pPr>
      <w:r>
        <w:t>Nivel global de madurez SIEM/SOC (IGM) por sector.</w:t>
      </w:r>
    </w:p>
    <w:p>
      <w:pPr>
        <w:pStyle w:val="ListBullet"/>
        <w:keepLines w:val="1"/>
        <w:keepNext w:val="1"/>
        <w:widowControl w:val="1"/>
      </w:pPr>
      <w:r>
        <w:t>Principales fortalezas identificadas.</w:t>
      </w:r>
    </w:p>
    <w:p>
      <w:pPr>
        <w:pStyle w:val="ListBullet"/>
        <w:keepLines w:val="1"/>
        <w:keepNext w:val="1"/>
        <w:widowControl w:val="1"/>
      </w:pPr>
      <w:r>
        <w:t>Principales brechas o áreas de mejora.</w:t>
      </w:r>
    </w:p>
    <w:p>
      <w:pPr>
        <w:pStyle w:val="ListBullet"/>
        <w:keepLines w:val="1"/>
        <w:widowControl w:val="1"/>
      </w:pPr>
      <w:r>
        <w:t>Mensaje central: “Dónde estamos” y “Qué urge abordar”.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Población objetivo y número de respuestas recibidas.</w:t>
      </w:r>
    </w:p>
    <w:p>
      <w:pPr>
        <w:pStyle w:val="ListBullet"/>
        <w:keepLines w:val="1"/>
        <w:keepNext w:val="1"/>
        <w:widowControl w:val="1"/>
      </w:pPr>
      <w:r>
        <w:t>Período de recogida de datos.</w:t>
      </w:r>
    </w:p>
    <w:p>
      <w:pPr>
        <w:pStyle w:val="ListBullet"/>
        <w:keepLines w:val="1"/>
        <w:keepNext w:val="1"/>
        <w:widowControl w:val="1"/>
      </w:pPr>
      <w:r>
        <w:t>Referencias a marcos (NIS2, ENS, ENISA, etc.).</w:t>
      </w:r>
    </w:p>
    <w:p>
      <w:pPr>
        <w:pStyle w:val="ListBullet"/>
        <w:keepLines w:val="1"/>
        <w:keepNext w:val="1"/>
        <w:widowControl w:val="1"/>
      </w:pPr>
      <w:r>
        <w:t>Gráfico sugerido:</w:t>
      </w:r>
    </w:p>
    <w:p>
      <w:pPr>
        <w:pStyle w:val="ListBullet"/>
        <w:keepLines w:val="1"/>
        <w:widowControl w:val="1"/>
      </w:pPr>
      <w:r>
        <w:t>Diagrama sencillo de la cadena: Encuesta → Tratamiento de datos → Construcción de IGM → Análisis de ROI.</w:t>
      </w:r>
    </w:p>
    <w:p>
      <w:pPr>
        <w:pStyle w:val="Heading2"/>
        <w:keepNext/>
        <w:keepLines/>
      </w:pPr>
      <w:r>
        <w:rPr>
          <w:color w:val="0066CC"/>
        </w:rPr>
        <w:t>Diapositiva 4 – Perfil de las organizaciones participantes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Distribución por sector (barra o donut).</w:t>
      </w:r>
    </w:p>
    <w:p>
      <w:pPr>
        <w:pStyle w:val="ListBullet"/>
        <w:keepLines w:val="1"/>
        <w:keepNext w:val="1"/>
        <w:widowControl w:val="1"/>
      </w:pPr>
      <w:r>
        <w:t>Distribución por tamaño (barra).</w:t>
      </w:r>
    </w:p>
    <w:p>
      <w:pPr>
        <w:pStyle w:val="ListBullet"/>
        <w:keepLines w:val="1"/>
        <w:keepNext w:val="1"/>
        <w:widowControl w:val="1"/>
      </w:pPr>
      <w:r>
        <w:t>Porcentaje sujeto a NIS2.</w:t>
      </w:r>
    </w:p>
    <w:p>
      <w:pPr>
        <w:pStyle w:val="ListBullet"/>
        <w:keepLines w:val="1"/>
        <w:keepNext w:val="1"/>
        <w:widowControl w:val="1"/>
      </w:pPr>
      <w:r>
        <w:t>Mensajes clave:</w:t>
      </w:r>
    </w:p>
    <w:p>
      <w:pPr>
        <w:pStyle w:val="ListBullet"/>
        <w:keepLines w:val="1"/>
        <w:keepNext w:val="1"/>
        <w:widowControl w:val="1"/>
      </w:pPr>
      <w:r>
        <w:t>Representatividad (especialmente en sectores críticos).</w:t>
      </w:r>
    </w:p>
    <w:p>
      <w:pPr>
        <w:pStyle w:val="ListBullet"/>
        <w:keepLines w:val="1"/>
        <w:widowControl w:val="1"/>
      </w:pPr>
      <w:r>
        <w:t>Notas sobre sesgos (por ejemplo, mayor presencia de grandes organizaciones).</w:t>
      </w:r>
    </w:p>
    <w:p>
      <w:pPr>
        <w:pStyle w:val="Heading2"/>
        <w:keepNext/>
        <w:keepLines/>
      </w:pPr>
      <w:r>
        <w:rPr>
          <w:color w:val="0066CC"/>
        </w:rPr>
        <w:t>Diapositiva 5 – Arquitectura SIEM y cobertura</w:t>
      </w:r>
    </w:p>
    <w:p>
      <w:pPr>
        <w:pStyle w:val="ListBullet"/>
        <w:keepLines w:val="1"/>
        <w:keepNext w:val="1"/>
        <w:widowControl w:val="1"/>
      </w:pPr>
      <w:r>
        <w:t>Gráfico principal:</w:t>
      </w:r>
    </w:p>
    <w:p>
      <w:pPr>
        <w:pStyle w:val="ListBullet"/>
        <w:keepLines w:val="1"/>
        <w:keepNext w:val="1"/>
        <w:widowControl w:val="1"/>
      </w:pPr>
      <w:r>
        <w:t>Barra apilada o gráfico de columnas mostrando:</w:t>
        <w:br/>
        <w:t>Porcentaje de organizaciones con SIEM, sin SIEM, en implantación.</w:t>
        <w:br/>
        <w:br/>
      </w:r>
    </w:p>
    <w:p>
      <w:pPr>
        <w:pStyle w:val="ListBullet"/>
        <w:keepLines w:val="1"/>
        <w:keepNext w:val="1"/>
        <w:widowControl w:val="1"/>
      </w:pPr>
      <w:r>
        <w:t>Gráfico adicional:</w:t>
        <w:br/>
        <w:t>Cobertura media de activos críticos monitorizados.</w:t>
        <w:br/>
        <w:br/>
      </w:r>
    </w:p>
    <w:p>
      <w:pPr>
        <w:pStyle w:val="ListBullet"/>
        <w:keepLines w:val="1"/>
        <w:keepNext w:val="1"/>
        <w:widowControl w:val="1"/>
      </w:pPr>
      <w:r>
        <w:t>Mensajes clave:</w:t>
      </w:r>
    </w:p>
    <w:p>
      <w:pPr>
        <w:pStyle w:val="ListBullet"/>
        <w:keepLines w:val="1"/>
        <w:keepNext w:val="1"/>
        <w:widowControl w:val="1"/>
      </w:pPr>
      <w:r>
        <w:t>Nivel de adopción del SIEM.</w:t>
      </w:r>
    </w:p>
    <w:p>
      <w:pPr>
        <w:pStyle w:val="ListBullet"/>
        <w:keepLines w:val="1"/>
        <w:widowControl w:val="1"/>
      </w:pPr>
      <w:r>
        <w:t>Áreas con baja visibilidad (OT, cloud, identidad, etc.).</w:t>
      </w:r>
    </w:p>
    <w:p>
      <w:pPr>
        <w:pStyle w:val="ListBullet"/>
        <w:keepLines w:val="1"/>
        <w:widowControl w:val="1"/>
      </w:pPr>
      <w:r>
        <w:t>Porcentaje de organizaciones con SIEM, sin SIEM, en implantación.</w:t>
      </w:r>
    </w:p>
    <w:p>
      <w:pPr>
        <w:pStyle w:val="ListBullet"/>
        <w:keepLines w:val="1"/>
        <w:widowControl w:val="1"/>
      </w:pPr>
      <w:r>
        <w:t>Cobertura media de activos críticos monitorizados.</w:t>
      </w:r>
    </w:p>
    <w:p>
      <w:pPr>
        <w:pStyle w:val="Heading2"/>
        <w:keepNext/>
        <w:keepLines/>
      </w:pPr>
      <w:r>
        <w:rPr>
          <w:color w:val="0066CC"/>
        </w:rPr>
        <w:t>Diapositiva 6 – Indicadores operativos (velocidad)</w:t>
      </w:r>
    </w:p>
    <w:p>
      <w:pPr>
        <w:pStyle w:val="ListBullet"/>
        <w:keepLines w:val="1"/>
        <w:keepNext w:val="1"/>
        <w:widowControl w:val="1"/>
      </w:pPr>
      <w:r>
        <w:t>MTTD / MTTR:</w:t>
      </w:r>
    </w:p>
    <w:p>
      <w:pPr>
        <w:pStyle w:val="ListBullet"/>
        <w:keepLines w:val="1"/>
        <w:keepNext w:val="1"/>
        <w:widowControl w:val="1"/>
      </w:pPr>
      <w:r>
        <w:t>Gráfico de barras comparando MTTD objetivo vs. real (si se dispone).</w:t>
      </w:r>
    </w:p>
    <w:p>
      <w:pPr>
        <w:pStyle w:val="ListBullet"/>
        <w:keepLines w:val="1"/>
        <w:keepNext w:val="1"/>
        <w:widowControl w:val="1"/>
      </w:pPr>
      <w:r>
        <w:t>Porcentaje de organizaciones que miden formalmente MTTD y MTTR.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keepNext w:val="1"/>
        <w:widowControl w:val="1"/>
      </w:pPr>
      <w:r>
        <w:t>¿Se detecta a tiempo?</w:t>
      </w:r>
    </w:p>
    <w:p>
      <w:pPr>
        <w:pStyle w:val="ListBullet"/>
        <w:keepLines w:val="1"/>
        <w:widowControl w:val="1"/>
      </w:pPr>
      <w:r>
        <w:t>¿Hay objetivos claros o “se hace lo que se puede”?</w:t>
      </w:r>
    </w:p>
    <w:p>
      <w:pPr>
        <w:pStyle w:val="Heading2"/>
        <w:keepNext/>
        <w:keepLines/>
      </w:pPr>
      <w:r>
        <w:rPr>
          <w:color w:val="0066CC"/>
        </w:rPr>
        <w:t>Diapositiva 7 – Indicadores operativos (calidad y cobertura)</w:t>
      </w:r>
    </w:p>
    <w:p>
      <w:pPr>
        <w:pStyle w:val="ListBullet"/>
        <w:keepLines w:val="1"/>
        <w:keepNext w:val="1"/>
        <w:widowControl w:val="1"/>
      </w:pPr>
      <w:r>
        <w:t>Calidad:</w:t>
      </w:r>
    </w:p>
    <w:p>
      <w:pPr>
        <w:pStyle w:val="ListBullet"/>
        <w:keepLines w:val="1"/>
        <w:keepNext w:val="1"/>
        <w:widowControl w:val="1"/>
      </w:pPr>
      <w:r>
        <w:t>Tasa media de falsos positivos (por rangos).</w:t>
      </w:r>
    </w:p>
    <w:p>
      <w:pPr>
        <w:pStyle w:val="ListBullet"/>
        <w:keepLines w:val="1"/>
        <w:keepNext w:val="1"/>
        <w:widowControl w:val="1"/>
      </w:pPr>
      <w:r>
        <w:t>Conversión alerta‑incidente.</w:t>
      </w:r>
    </w:p>
    <w:p>
      <w:pPr>
        <w:pStyle w:val="ListBullet"/>
        <w:keepLines w:val="1"/>
        <w:keepNext w:val="1"/>
        <w:widowControl w:val="1"/>
      </w:pPr>
      <w:r>
        <w:t>Cobertura:</w:t>
      </w:r>
    </w:p>
    <w:p>
      <w:pPr>
        <w:pStyle w:val="ListBullet"/>
        <w:keepLines w:val="1"/>
        <w:keepNext w:val="1"/>
        <w:widowControl w:val="1"/>
      </w:pPr>
      <w:r>
        <w:t>Cobertura media de técnicas MITRE ATT&amp;CK relevantes.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keepNext w:val="1"/>
        <w:widowControl w:val="1"/>
      </w:pPr>
      <w:r>
        <w:t>¿Cuánto ruido hay?</w:t>
      </w:r>
    </w:p>
    <w:p>
      <w:pPr>
        <w:pStyle w:val="ListBullet"/>
        <w:keepLines w:val="1"/>
        <w:widowControl w:val="1"/>
      </w:pPr>
      <w:r>
        <w:t>¿Cuánto valor sacamos de las alertas?</w:t>
      </w:r>
    </w:p>
    <w:p>
      <w:pPr>
        <w:pStyle w:val="Heading2"/>
        <w:keepNext/>
        <w:keepLines/>
      </w:pPr>
      <w:r>
        <w:rPr>
          <w:color w:val="0066CC"/>
        </w:rPr>
        <w:t>Diapositiva 8 – Cumplimiento regulatorio (NIS2, ENS, DORA)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Gráfico sobre uso del SIEM como fuente principal de evidencia.</w:t>
      </w:r>
    </w:p>
    <w:p>
      <w:pPr>
        <w:pStyle w:val="ListBullet"/>
        <w:keepLines w:val="1"/>
        <w:keepNext w:val="1"/>
        <w:widowControl w:val="1"/>
      </w:pPr>
      <w:r>
        <w:t>Porcentaje de organizaciones que miden tiempos de notificación y completitud de informes.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keepNext w:val="1"/>
        <w:widowControl w:val="1"/>
      </w:pPr>
      <w:r>
        <w:t>Nivel de alineamiento con obligaciones de reporte.</w:t>
      </w:r>
    </w:p>
    <w:p>
      <w:pPr>
        <w:pStyle w:val="ListBullet"/>
        <w:keepLines w:val="1"/>
        <w:widowControl w:val="1"/>
      </w:pPr>
      <w:r>
        <w:t>Riesgo de incumplimientos por falta de métricas.</w:t>
      </w:r>
    </w:p>
    <w:p>
      <w:pPr>
        <w:pStyle w:val="Heading2"/>
        <w:keepNext/>
        <w:keepLines/>
      </w:pPr>
      <w:r>
        <w:rPr>
          <w:color w:val="0066CC"/>
        </w:rPr>
        <w:t>Diapositiva 9 – IA, SOAR y SOC moderno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Porcentaje de organizaciones que usan IA/UEBA/XDR.</w:t>
      </w:r>
    </w:p>
    <w:p>
      <w:pPr>
        <w:pStyle w:val="ListBullet"/>
        <w:keepLines w:val="1"/>
        <w:keepNext w:val="1"/>
        <w:widowControl w:val="1"/>
      </w:pPr>
      <w:r>
        <w:t>Porcentaje con SOAR y niveles de automatización.</w:t>
      </w:r>
    </w:p>
    <w:p>
      <w:pPr>
        <w:pStyle w:val="ListBullet"/>
        <w:keepLines w:val="1"/>
        <w:keepNext w:val="1"/>
        <w:widowControl w:val="1"/>
      </w:pPr>
      <w:r>
        <w:t>Ejemplo: porcentaje de incidentes resueltos automáticamente.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De la teoría a la práctica: ¿la IA está de adorno o aporta valor medible?</w:t>
      </w:r>
    </w:p>
    <w:p>
      <w:pPr>
        <w:pStyle w:val="Heading2"/>
        <w:keepNext/>
        <w:keepLines/>
      </w:pPr>
      <w:r>
        <w:rPr>
          <w:color w:val="0066CC"/>
        </w:rPr>
        <w:t>Diapositiva 10 – OT, 5G y sectores críticos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Porcentaje de organizaciones que monitorizan OT/ICS de forma sistemática.</w:t>
      </w:r>
    </w:p>
    <w:p>
      <w:pPr>
        <w:pStyle w:val="ListBullet"/>
        <w:keepLines w:val="1"/>
        <w:keepNext w:val="1"/>
        <w:widowControl w:val="1"/>
      </w:pPr>
      <w:r>
        <w:t>Porcentaje que tiene métricas específicas OT.</w:t>
      </w:r>
    </w:p>
    <w:p>
      <w:pPr>
        <w:pStyle w:val="ListBullet"/>
        <w:keepLines w:val="1"/>
        <w:keepNext w:val="1"/>
        <w:widowControl w:val="1"/>
      </w:pPr>
      <w:r>
        <w:t>Indicadores de integración de entornos 5G (si aplica).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Madurez en infraestructuras donde un incidente es algo más que un correo caído.</w:t>
      </w:r>
    </w:p>
    <w:p>
      <w:pPr>
        <w:pStyle w:val="Heading2"/>
        <w:keepNext/>
        <w:keepLines/>
      </w:pPr>
      <w:r>
        <w:rPr>
          <w:color w:val="0066CC"/>
        </w:rPr>
        <w:t>Diapositiva 11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principal:</w:t>
      </w:r>
    </w:p>
    <w:p>
      <w:pPr>
        <w:pStyle w:val="ListBullet"/>
        <w:keepLines w:val="1"/>
        <w:keepNext w:val="1"/>
        <w:widowControl w:val="1"/>
      </w:pPr>
      <w:r>
        <w:t>Radar o barras comparando:</w:t>
        <w:br/>
        <w:t>IGM_Arquitectura</w:t>
        <w:br/>
        <w:t>IGM_Operación</w:t>
        <w:br/>
        <w:t>IGM_Cumplimiento</w:t>
        <w:br/>
        <w:t>IGM_IA_SOAR</w:t>
        <w:br/>
        <w:t>IGM_OT</w:t>
        <w:br/>
        <w:t>IGM_Riesgo</w:t>
        <w:br/>
        <w:br/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Visión sintética de fortalezas y debilidades por dimensión.</w:t>
      </w:r>
    </w:p>
    <w:p>
      <w:pPr>
        <w:pStyle w:val="ListBullet"/>
        <w:keepLines w:val="1"/>
        <w:keepNext w:val="1"/>
        <w:widowControl w:val="1"/>
      </w:pPr>
      <w:r>
        <w:t>IGM_Arquitectura</w:t>
      </w:r>
    </w:p>
    <w:p>
      <w:pPr>
        <w:pStyle w:val="ListBullet"/>
        <w:keepLines w:val="1"/>
        <w:keepNext w:val="1"/>
        <w:widowControl w:val="1"/>
      </w:pPr>
      <w:r>
        <w:t>IGM_Operación</w:t>
      </w:r>
    </w:p>
    <w:p>
      <w:pPr>
        <w:pStyle w:val="ListBullet"/>
        <w:keepLines w:val="1"/>
        <w:keepNext w:val="1"/>
        <w:widowControl w:val="1"/>
      </w:pPr>
      <w:r>
        <w:t>IGM_Cumplimiento</w:t>
      </w:r>
    </w:p>
    <w:p>
      <w:pPr>
        <w:pStyle w:val="ListBullet"/>
        <w:keepLines w:val="1"/>
        <w:keepNext w:val="1"/>
        <w:widowControl w:val="1"/>
      </w:pPr>
      <w:r>
        <w:t>IGM_IA_SOAR</w:t>
      </w:r>
    </w:p>
    <w:p>
      <w:pPr>
        <w:pStyle w:val="ListBullet"/>
        <w:keepLines w:val="1"/>
        <w:keepNext w:val="1"/>
        <w:widowControl w:val="1"/>
      </w:pPr>
      <w:r>
        <w:t>IGM_OT</w:t>
      </w:r>
    </w:p>
    <w:p>
      <w:pPr>
        <w:pStyle w:val="ListBullet"/>
        <w:keepLines w:val="1"/>
        <w:widowControl w:val="1"/>
      </w:pPr>
      <w:r>
        <w:t>IGM_Riesgo</w:t>
      </w:r>
    </w:p>
    <w:p>
      <w:pPr>
        <w:pStyle w:val="Heading2"/>
        <w:keepNext/>
        <w:keepLines/>
      </w:pPr>
      <w:r>
        <w:rPr>
          <w:color w:val="0066CC"/>
        </w:rPr>
        <w:t>Diapositiva 12 – ROI y uso del SIEM para decisiones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Resumen de estimaciones de ROI (si se han calculado).</w:t>
      </w:r>
    </w:p>
    <w:p>
      <w:pPr>
        <w:pStyle w:val="ListBullet"/>
        <w:keepLines w:val="1"/>
        <w:keepNext w:val="1"/>
        <w:widowControl w:val="1"/>
      </w:pPr>
      <w:r>
        <w:t>Porcentaje de organizaciones que usan el SIEM para justificar inversiones.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El SIEM como instrumento económico, no solo técnico.</w:t>
      </w:r>
    </w:p>
    <w:p>
      <w:pPr>
        <w:pStyle w:val="Heading2"/>
        <w:keepNext/>
        <w:keepLines/>
      </w:pPr>
      <w:r>
        <w:rPr>
          <w:color w:val="0066CC"/>
        </w:rPr>
        <w:t>Diapositiva 13 – Recomendaciones estratégicas</w:t>
      </w:r>
    </w:p>
    <w:p>
      <w:pPr>
        <w:pStyle w:val="ListBullet"/>
        <w:keepLines w:val="1"/>
        <w:keepNext w:val="1"/>
        <w:widowControl w:val="1"/>
      </w:pPr>
      <w:r>
        <w:t>Sección 1: Recomendaciones transversales (para todos).</w:t>
      </w:r>
    </w:p>
    <w:p>
      <w:pPr>
        <w:pStyle w:val="ListBullet"/>
        <w:keepLines w:val="1"/>
        <w:keepNext w:val="1"/>
        <w:widowControl w:val="1"/>
      </w:pPr>
      <w:r>
        <w:t>Sección 2: Recomendaciones específicas por sector (energía, finanzas, administración, etc.).</w:t>
      </w:r>
    </w:p>
    <w:p>
      <w:pPr>
        <w:pStyle w:val="ListBullet"/>
        <w:keepLines w:val="1"/>
        <w:widowControl w:val="1"/>
      </w:pPr>
      <w:r>
        <w:t>Sección 3: Recomendaciones en clave país (para reguladores/CERT).</w:t>
      </w:r>
    </w:p>
    <w:p>
      <w:r>
        <w:t>Cada recomendación debería vincularse claramente a brechas detectadas en la encuesta.</w:t>
      </w:r>
    </w:p>
    <w:p>
      <w:pPr>
        <w:pStyle w:val="Heading2"/>
        <w:keepNext/>
        <w:keepLines/>
      </w:pPr>
      <w:r>
        <w:rPr>
          <w:color w:val="0066CC"/>
        </w:rPr>
        <w:t>Diapositiva 14 – Próximos pasos</w:t>
      </w:r>
    </w:p>
    <w:p>
      <w:pPr>
        <w:pStyle w:val="ListBullet"/>
        <w:keepLines w:val="1"/>
        <w:keepNext w:val="1"/>
        <w:widowControl w:val="1"/>
      </w:pPr>
      <w:r>
        <w:t>Opciones:</w:t>
      </w:r>
    </w:p>
    <w:p>
      <w:pPr>
        <w:pStyle w:val="ListBullet"/>
        <w:keepLines w:val="1"/>
        <w:keepNext w:val="1"/>
        <w:widowControl w:val="1"/>
      </w:pPr>
      <w:r>
        <w:t>Profundizar con entrevistas cualitativas.</w:t>
      </w:r>
    </w:p>
    <w:p>
      <w:pPr>
        <w:pStyle w:val="ListBullet"/>
        <w:keepLines w:val="1"/>
        <w:keepNext w:val="1"/>
        <w:widowControl w:val="1"/>
      </w:pPr>
      <w:r>
        <w:t>Repetir la encuesta periódicamente (cada 2–3 años).</w:t>
      </w:r>
    </w:p>
    <w:p>
      <w:pPr>
        <w:pStyle w:val="ListBullet"/>
        <w:keepLines w:val="1"/>
        <w:keepNext w:val="1"/>
        <w:widowControl w:val="1"/>
      </w:pPr>
      <w:r>
        <w:t>Integrar los resultados en planes de ciberseguridad nacionales o sectoriales.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>Esto no termina aquí; esto empieza aquí.</w:t>
      </w:r>
    </w:p>
    <w:p>
      <w:pPr>
        <w:pStyle w:val="Heading2"/>
        <w:keepNext/>
        <w:keepLines/>
      </w:pPr>
      <w:r>
        <w:rPr>
          <w:color w:val="0066CC"/>
        </w:rPr>
        <w:t>Diapositiva 15 – Cierre y contacto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Agradecimiento a participantes.</w:t>
      </w:r>
    </w:p>
    <w:p>
      <w:pPr>
        <w:pStyle w:val="ListBullet"/>
        <w:keepLines w:val="1"/>
        <w:keepNext w:val="1"/>
        <w:widowControl w:val="1"/>
      </w:pPr>
      <w:r>
        <w:t>Contactos para ampliación de información.</w:t>
      </w:r>
    </w:p>
    <w:p>
      <w:pPr>
        <w:pStyle w:val="ListBullet"/>
        <w:keepLines w:val="1"/>
        <w:widowControl w:val="1"/>
      </w:pPr>
      <w:r>
        <w:t>Referencias básicas (sin saturar de bibliografía).</w:t>
      </w:r>
    </w:p>
    <w:p>
      <w:r>
        <w:rPr>
          <w:i/>
        </w:rPr>
        <w:t>Fin de la plantilla de reporte.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