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sobre Indicadores y Métricas SIEM</w:t>
      </w:r>
    </w:p>
    <w:p>
      <w:r>
        <w:t>Bienvenido/a al kit de encuesta SIEM. Si ha llegado hasta aquí, probablemente convive a diario con logs, alertas, reguladores y alguna que otra llamada intempestiva del SOC. Este kit intenta que, al menos, haya métricas que den sentido a todo ello.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se compone de los siguientes archivos en formato Markdown:</w:t>
      </w:r>
    </w:p>
    <w:p>
      <w:pPr>
        <w:pStyle w:val="ListNumber"/>
        <w:keepLines w:val="1"/>
        <w:keepNext w:val="1"/>
        <w:widowControl w:val="1"/>
      </w:pPr>
      <w:r>
        <w:br/>
        <w:t>encuesta_siem_modelo.md</w:t>
        <w:br/>
        <w:t xml:space="preserve">   Modelo de encuesta integral para responsables de ciberseguridad, TI, riesgo y negocio.</w:t>
        <w:br/>
      </w:r>
    </w:p>
    <w:p>
      <w:pPr>
        <w:pStyle w:val="ListNumber"/>
        <w:keepLines w:val="1"/>
        <w:keepNext w:val="1"/>
        <w:widowControl w:val="1"/>
      </w:pPr>
      <w:r>
        <w:br/>
        <w:t>guia_metodologica_siem.md</w:t>
        <w:br/>
        <w:t xml:space="preserve">   Documento que explica el propósito, la estructura y el uso analítico de la encuesta.</w:t>
        <w:br/>
      </w:r>
    </w:p>
    <w:p>
      <w:pPr>
        <w:pStyle w:val="ListNumber"/>
        <w:keepLines w:val="1"/>
        <w:keepNext w:val="1"/>
        <w:widowControl w:val="1"/>
      </w:pPr>
      <w:r>
        <w:br/>
        <w:t>narrativa_siem.md</w:t>
        <w:br/>
        <w:t xml:space="preserve">   Texto de acompañamiento que contextualiza, con cierto tono literario, por qué hacemos todo esto.</w:t>
        <w:br/>
      </w:r>
    </w:p>
    <w:p>
      <w:pPr>
        <w:pStyle w:val="ListNumber"/>
        <w:keepLines w:val="1"/>
        <w:keepNext w:val="1"/>
        <w:widowControl w:val="1"/>
      </w:pPr>
      <w:r>
        <w:br/>
        <w:t>mapeo_preguntas_normativa_siem.md</w:t>
        <w:br/>
        <w:t xml:space="preserve">   Tabla que relaciona cada pregunta con requisitos de NIS2, ENS, DORA, ISO 27001 y buenas prácticas.</w:t>
        <w:br/>
      </w:r>
    </w:p>
    <w:p>
      <w:pPr>
        <w:pStyle w:val="ListNumber"/>
        <w:keepLines w:val="1"/>
        <w:keepNext w:val="1"/>
        <w:widowControl w:val="1"/>
      </w:pPr>
      <w:r>
        <w:br/>
        <w:t>plantilla_excel_igm_roi_siem.md</w:t>
        <w:br/>
        <w:t xml:space="preserve">   Descripción de una plantilla de Excel para calcular índices de madurez (IGM) y estimar ROI.</w:t>
        <w:br/>
      </w:r>
    </w:p>
    <w:p>
      <w:pPr>
        <w:pStyle w:val="ListNumber"/>
        <w:keepLines w:val="1"/>
        <w:widowControl w:val="1"/>
      </w:pPr>
      <w:r>
        <w:br/>
        <w:t>plantilla_reporte_ejecutivo_siem.md</w:t>
        <w:br/>
        <w:t xml:space="preserve">   Guía para elaborar un informe ejecutivo (PowerPoint) a partir de los resultados.</w:t>
        <w:br/>
      </w:r>
    </w:p>
    <w:p>
      <w:r>
        <w:rPr>
          <w:rFonts w:ascii="Courier New" w:hAnsi="Courier New"/>
          <w:sz w:val="18"/>
        </w:rPr>
        <w:t>encuesta_siem_modelo.md</w:t>
      </w:r>
      <w:r/>
      <w:r>
        <w:br/>
        <w:t xml:space="preserve">   Modelo de encuesta integral para responsables de ciberseguridad, TI, riesgo y negocio.</w:t>
      </w:r>
    </w:p>
    <w:p>
      <w:r>
        <w:rPr>
          <w:rFonts w:ascii="Courier New" w:hAnsi="Courier New"/>
          <w:sz w:val="18"/>
        </w:rPr>
        <w:t>guia_metodologica_siem.md</w:t>
      </w:r>
      <w:r/>
      <w:r>
        <w:br/>
        <w:t xml:space="preserve">   Documento que explica el propósito, la estructura y el uso analítico de la encuesta.</w:t>
      </w:r>
    </w:p>
    <w:p>
      <w:r>
        <w:rPr>
          <w:rFonts w:ascii="Courier New" w:hAnsi="Courier New"/>
          <w:sz w:val="18"/>
        </w:rPr>
        <w:t>narrativa_siem.md</w:t>
      </w:r>
      <w:r/>
      <w:r>
        <w:br/>
        <w:t xml:space="preserve">   Texto de acompañamiento que contextualiza, con cierto tono literario, por qué hacemos todo esto.</w:t>
      </w:r>
    </w:p>
    <w:p>
      <w:r>
        <w:rPr>
          <w:rFonts w:ascii="Courier New" w:hAnsi="Courier New"/>
          <w:sz w:val="18"/>
        </w:rPr>
        <w:t>mapeo_preguntas_normativa_siem.md</w:t>
      </w:r>
      <w:r/>
      <w:r>
        <w:br/>
        <w:t xml:space="preserve">   Tabla que relaciona cada pregunta con requisitos de NIS2, ENS, DORA, ISO 27001 y buenas prácticas.</w:t>
      </w:r>
    </w:p>
    <w:p>
      <w:r>
        <w:rPr>
          <w:rFonts w:ascii="Courier New" w:hAnsi="Courier New"/>
          <w:sz w:val="18"/>
        </w:rPr>
        <w:t>plantilla_excel_igm_roi_siem.md</w:t>
      </w:r>
      <w:r/>
      <w:r>
        <w:br/>
        <w:t xml:space="preserve">   Descripción de una plantilla de Excel para calcular índices de madurez (IGM) y estimar ROI.</w:t>
      </w:r>
    </w:p>
    <w:p>
      <w:r>
        <w:rPr>
          <w:rFonts w:ascii="Courier New" w:hAnsi="Courier New"/>
          <w:sz w:val="18"/>
        </w:rPr>
        <w:t>plantilla_reporte_ejecutivo_siem.md</w:t>
      </w:r>
      <w:r/>
      <w:r>
        <w:br/>
        <w:t xml:space="preserve">   Guía para elaborar un informe ejecutivo (PowerPoint) a partir de los resultados.</w:t>
      </w:r>
    </w:p>
    <w:p>
      <w:pPr>
        <w:pStyle w:val="Heading2"/>
        <w:keepNext/>
        <w:keepLines/>
      </w:pPr>
      <w:r>
        <w:rPr>
          <w:color w:val="0066CC"/>
        </w:rPr>
        <w:t>2. Cómo empezar</w:t>
      </w:r>
    </w:p>
    <w:p>
      <w:pPr>
        <w:pStyle w:val="ListNumber"/>
        <w:keepLines w:val="1"/>
        <w:keepNext w:val="1"/>
        <w:widowControl w:val="1"/>
      </w:pPr>
      <w:r>
        <w:t>Personalice la encuesta (encuesta_siem_modelo.md):</w:t>
      </w:r>
    </w:p>
    <w:p>
      <w:pPr>
        <w:pStyle w:val="ListNumber"/>
        <w:keepLines w:val="1"/>
        <w:keepNext w:val="1"/>
        <w:widowControl w:val="1"/>
      </w:pPr>
      <w:r>
        <w:t>Adapte el vocabulario a su realidad (sector, tamaño, país).</w:t>
      </w:r>
    </w:p>
    <w:p>
      <w:pPr>
        <w:pStyle w:val="ListNumber"/>
        <w:keepLines w:val="1"/>
        <w:keepNext w:val="1"/>
        <w:widowControl w:val="1"/>
      </w:pPr>
      <w:r>
        <w:br/>
        <w:t>Elimine o añada preguntas según su foco (por ejemplo, énfasis en OT o en cumplimiento).</w:t>
        <w:br/>
      </w:r>
    </w:p>
    <w:p>
      <w:pPr>
        <w:pStyle w:val="ListNumber"/>
        <w:keepLines w:val="1"/>
        <w:keepNext w:val="1"/>
        <w:widowControl w:val="1"/>
      </w:pPr>
      <w:r>
        <w:br/>
        <w:t>Implemente la encuesta:</w:t>
        <w:br/>
      </w:r>
    </w:p>
    <w:p>
      <w:pPr>
        <w:pStyle w:val="ListNumber"/>
        <w:keepLines w:val="1"/>
        <w:keepNext w:val="1"/>
        <w:widowControl w:val="1"/>
      </w:pPr>
      <w:r>
        <w:t>Cargue el contenido en la herramienta de encuestas de su elección.</w:t>
      </w:r>
    </w:p>
    <w:p>
      <w:pPr>
        <w:pStyle w:val="ListNumber"/>
        <w:keepLines w:val="1"/>
        <w:keepNext w:val="1"/>
        <w:widowControl w:val="1"/>
      </w:pPr>
      <w:r>
        <w:br/>
        <w:t>Mantenga la estructura de secciones para facilitar el análisis posterior.</w:t>
        <w:br/>
      </w:r>
    </w:p>
    <w:p>
      <w:pPr>
        <w:pStyle w:val="ListNumber"/>
        <w:keepLines w:val="1"/>
        <w:keepNext w:val="1"/>
        <w:widowControl w:val="1"/>
      </w:pPr>
      <w:r>
        <w:br/>
        <w:t>Acuerde las reglas del juego:</w:t>
        <w:br/>
      </w:r>
    </w:p>
    <w:p>
      <w:pPr>
        <w:pStyle w:val="ListNumber"/>
        <w:keepLines w:val="1"/>
        <w:keepNext w:val="1"/>
        <w:widowControl w:val="1"/>
      </w:pPr>
      <w:r>
        <w:t>Defina si las respuestas serán anónimas o pseudonimizadas.</w:t>
      </w:r>
    </w:p>
    <w:p>
      <w:pPr>
        <w:pStyle w:val="ListNumber"/>
        <w:keepLines w:val="1"/>
        <w:keepNext w:val="1"/>
        <w:widowControl w:val="1"/>
      </w:pPr>
      <w:r>
        <w:br/>
        <w:t>Asegure a los participantes que los resultados se presentarán de forma agregada.</w:t>
        <w:br/>
      </w:r>
    </w:p>
    <w:p>
      <w:pPr>
        <w:pStyle w:val="ListNumber"/>
        <w:keepLines w:val="1"/>
        <w:keepNext w:val="1"/>
        <w:widowControl w:val="1"/>
      </w:pPr>
      <w:r>
        <w:br/>
        <w:t>Planifique el análisis:</w:t>
        <w:br/>
      </w:r>
    </w:p>
    <w:p>
      <w:pPr>
        <w:pStyle w:val="ListNumber"/>
        <w:keepLines w:val="1"/>
        <w:keepNext w:val="1"/>
        <w:widowControl w:val="1"/>
      </w:pPr>
      <w:r>
        <w:t>Revise la guia_metodologica_siem.md y la plantilla_excel_igm_roi_siem.md.</w:t>
      </w:r>
    </w:p>
    <w:p>
      <w:pPr>
        <w:pStyle w:val="ListNumber"/>
        <w:keepLines w:val="1"/>
        <w:widowControl w:val="1"/>
      </w:pPr>
      <w:r>
        <w:t>Decida qué subíndices de madurez y ROI son más relevantes para sus objetivos.</w:t>
      </w:r>
    </w:p>
    <w:p>
      <w:r>
        <w:t>Elimine o añada preguntas según su foco (por ejemplo, énfasis en OT o en cumplimiento).</w:t>
      </w:r>
    </w:p>
    <w:p>
      <w:r>
        <w:rPr>
          <w:b/>
        </w:rPr>
        <w:t>Implemente la encuesta</w:t>
      </w:r>
      <w:r>
        <w:t>:</w:t>
      </w:r>
    </w:p>
    <w:p>
      <w:r>
        <w:t>Mantenga la estructura de secciones para facilitar el análisis posterior.</w:t>
      </w:r>
    </w:p>
    <w:p>
      <w:r>
        <w:rPr>
          <w:b/>
        </w:rPr>
        <w:t>Acuerde las reglas del juego</w:t>
      </w:r>
      <w:r>
        <w:t>:</w:t>
      </w:r>
    </w:p>
    <w:p>
      <w:r>
        <w:t>Asegure a los participantes que los resultados se presentarán de forma agregada.</w:t>
      </w:r>
    </w:p>
    <w:p>
      <w:r>
        <w:rPr>
          <w:b/>
        </w:rPr>
        <w:t>Planifique el análisis</w:t>
      </w:r>
      <w:r>
        <w:t>:</w:t>
      </w:r>
    </w:p>
    <w:p>
      <w:pPr>
        <w:pStyle w:val="Heading2"/>
        <w:keepNext/>
        <w:keepLines/>
      </w:pPr>
      <w:r>
        <w:rPr>
          <w:color w:val="0066CC"/>
        </w:rPr>
        <w:t>3. Recomendaciones de uso</w:t>
      </w:r>
    </w:p>
    <w:p>
      <w:pPr>
        <w:pStyle w:val="ListBullet"/>
        <w:keepLines w:val="1"/>
        <w:keepNext w:val="1"/>
        <w:widowControl w:val="1"/>
      </w:pPr>
      <w:r>
        <w:t>Iterativo por naturaleza: no intente perfeccionar todo a la primera. Empiece, mida, ajuste y repita.</w:t>
      </w:r>
    </w:p>
    <w:p>
      <w:pPr>
        <w:pStyle w:val="ListBullet"/>
        <w:keepLines w:val="1"/>
        <w:keepNext w:val="1"/>
        <w:widowControl w:val="1"/>
      </w:pPr>
      <w:r>
        <w:t>Gobernanza compartida: involucre a seguridad, TI, riesgo, negocio y, cuando aplique, al área jurídica.</w:t>
      </w:r>
    </w:p>
    <w:p>
      <w:pPr>
        <w:pStyle w:val="ListBullet"/>
        <w:keepLines w:val="1"/>
        <w:keepNext w:val="1"/>
        <w:widowControl w:val="1"/>
      </w:pPr>
      <w:r>
        <w:t>Honestidad radical: las respuestas optimistas son tentadoras, pero no ayudan a la mejora. La realidad, incluso si duele, es más útil.</w:t>
      </w:r>
    </w:p>
    <w:p>
      <w:pPr>
        <w:pStyle w:val="ListBullet"/>
        <w:keepLines w:val="1"/>
        <w:widowControl w:val="1"/>
      </w:pPr>
      <w:r>
        <w:t>Revisión periódica: se sugiere actualizar el cuestionario cada 2–3 años para reflejar cambios tecnológicos y regulatorios.</w:t>
      </w:r>
    </w:p>
    <w:p>
      <w:pPr>
        <w:pStyle w:val="Heading2"/>
        <w:keepNext/>
        <w:keepLines/>
      </w:pPr>
      <w:r>
        <w:rPr>
          <w:color w:val="0066CC"/>
        </w:rPr>
        <w:t>4. Licencias y personalización</w:t>
      </w:r>
    </w:p>
    <w:p>
      <w:r>
        <w:t>El contenido del kit está concebido para ser:</w:t>
      </w:r>
    </w:p>
    <w:p>
      <w:pPr>
        <w:pStyle w:val="ListBullet"/>
        <w:keepLines w:val="1"/>
        <w:keepNext w:val="1"/>
        <w:widowControl w:val="1"/>
      </w:pPr>
      <w:r>
        <w:t>Adaptado a distintos sectores (energía, finanzas, administración, sanidad, etc.).</w:t>
      </w:r>
    </w:p>
    <w:p>
      <w:pPr>
        <w:pStyle w:val="ListBullet"/>
        <w:keepLines w:val="1"/>
        <w:keepNext w:val="1"/>
        <w:widowControl w:val="1"/>
      </w:pPr>
      <w:r>
        <w:t>Traducido a otros idiomas.</w:t>
      </w:r>
    </w:p>
    <w:p>
      <w:pPr>
        <w:pStyle w:val="ListBullet"/>
        <w:keepLines w:val="1"/>
        <w:widowControl w:val="1"/>
      </w:pPr>
      <w:r>
        <w:t>Integrado en marcos nacionales o sectoriales de ciberseguridad.</w:t>
      </w:r>
    </w:p>
    <w:p>
      <w:r>
        <w:t>Se recomienda mantener la atribución conceptual y la coherencia metodológica, pero no hay dogmas: la seguridad, si algo es, es situacional.</w:t>
      </w:r>
    </w:p>
    <w:p>
      <w:pPr>
        <w:pStyle w:val="Heading2"/>
        <w:keepNext/>
        <w:keepLines/>
      </w:pPr>
      <w:r>
        <w:rPr>
          <w:color w:val="0066CC"/>
        </w:rPr>
        <w:t>5. Contacto y contribuciones</w:t>
      </w:r>
    </w:p>
    <w:p>
      <w:r>
        <w:t>Si utiliza este kit para proyectos reales (nacionales, sectoriales o corporativos), es muy recomendable:</w:t>
      </w:r>
    </w:p>
    <w:p>
      <w:pPr>
        <w:pStyle w:val="ListBullet"/>
        <w:keepLines w:val="1"/>
        <w:keepNext w:val="1"/>
        <w:widowControl w:val="1"/>
      </w:pPr>
      <w:r>
        <w:t>Documentar los ajustes realizados.</w:t>
      </w:r>
    </w:p>
    <w:p>
      <w:pPr>
        <w:pStyle w:val="ListBullet"/>
        <w:keepLines w:val="1"/>
        <w:keepNext w:val="1"/>
        <w:widowControl w:val="1"/>
      </w:pPr>
      <w:r>
        <w:t>Compartir, cuando sea posible, lecciones aprendidas (aunque sea en forma agregada).</w:t>
      </w:r>
    </w:p>
    <w:p>
      <w:pPr>
        <w:pStyle w:val="ListBullet"/>
        <w:keepLines w:val="1"/>
        <w:widowControl w:val="1"/>
      </w:pPr>
      <w:r>
        <w:t>Considerar la publicación de resultados anonimizados como contribución al debate público sobre ciberseguridad.</w:t>
      </w:r>
    </w:p>
    <w:p>
      <w:pPr>
        <w:pStyle w:val="Heading2"/>
        <w:keepNext/>
        <w:keepLines/>
      </w:pPr>
      <w:r>
        <w:rPr>
          <w:color w:val="0066CC"/>
        </w:rPr>
        <w:t>6. Descargo de responsabilidad</w:t>
      </w:r>
    </w:p>
    <w:p>
      <w:r>
        <w:t>Este kit:</w:t>
      </w:r>
    </w:p>
    <w:p>
      <w:pPr>
        <w:pStyle w:val="ListBullet"/>
        <w:keepLines w:val="1"/>
        <w:keepNext w:val="1"/>
        <w:widowControl w:val="1"/>
      </w:pPr>
      <w:r>
        <w:t>No sustituye al asesoramiento jurídico.</w:t>
      </w:r>
    </w:p>
    <w:p>
      <w:pPr>
        <w:pStyle w:val="ListBullet"/>
        <w:keepLines w:val="1"/>
        <w:keepNext w:val="1"/>
        <w:widowControl w:val="1"/>
      </w:pPr>
      <w:r>
        <w:t>No garantiza por sí solo el cumplimiento de NIS2, ENS, DORA u otras normas.</w:t>
      </w:r>
    </w:p>
    <w:p>
      <w:pPr>
        <w:pStyle w:val="ListBullet"/>
        <w:keepLines w:val="1"/>
        <w:widowControl w:val="1"/>
      </w:pPr>
      <w:r>
        <w:t>No evitará todos los incidentes, pero debería ayudar a detectarlos antes, responder mejor y hablar su idioma con menos improvisación.</w:t>
      </w:r>
    </w:p>
    <w:p>
      <w:r>
        <w:t>Si, después de usarlo, la próxima auditoría duele un poco menos y la próxima conversación con el consejo incluye gráficos comprensibles, nos daremos por satisfechos.</w:t>
      </w:r>
    </w:p>
    <w:p>
      <w:r>
        <w:rPr>
          <w:i/>
        </w:rPr>
        <w:t>Fin del README.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