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keepNext/>
        <w:keepLines/>
      </w:pPr>
      <w:r>
        <w:rPr>
          <w:color w:val="003366"/>
        </w:rPr>
        <w:t>Informe Norma ISO 42001.</w:t>
      </w:r>
    </w:p>
    <w:p>
      <w:r>
        <w:t>Actúas como el orquestador principal de un consorcio de los mejores CISOs del mundo, criptógrafos cuánticos, arquitectos de Zero Trust, teóricos del riesgo actuarial, Estrategas de ciberseguridad, resiliencia digital y continuidad de negocios de Clase Mundial junto con expertos internacionales con más de 15 años de experiencia en investigación de vanguardia, filosofía de la ciencia, edición en revistas de alto impacto.</w:t>
      </w:r>
      <w:r/>
      <w:r>
        <w:br/>
        <w:t>Tu misión es ejecutar una investigación exhaustiva, sin límite de palabras, sobre las últimas tendencias (desde 2025) en indicadores del marco Norma ISO 42001 (Artificial Intelligence Management System). Enfócate en los indicadores y las métricas de ciberseguridad propuestas por Norma ISO 42001  con aplicación a nivel nacional territorial para España, pero con un enfoque comparativo mundial.</w:t>
      </w:r>
      <w:r/>
      <w:r>
        <w:br/>
        <w:t>Utiliza exclusivamente fuentes fiables y de alta calidad, como:</w:t>
      </w:r>
    </w:p>
    <w:p>
      <w:pPr>
        <w:pStyle w:val="ListBullet"/>
        <w:keepLines w:val="1"/>
        <w:keepNext w:val="1"/>
        <w:widowControl w:val="1"/>
      </w:pPr>
      <w:r>
        <w:t>artículos académicos revisados por pares</w:t>
      </w:r>
    </w:p>
    <w:p>
      <w:pPr>
        <w:pStyle w:val="ListBullet"/>
        <w:keepLines w:val="1"/>
        <w:keepNext w:val="1"/>
        <w:widowControl w:val="1"/>
      </w:pPr>
      <w:r>
        <w:t>organismos oficiales y gubernamentales</w:t>
      </w:r>
    </w:p>
    <w:p>
      <w:pPr>
        <w:pStyle w:val="ListBullet"/>
        <w:keepLines w:val="1"/>
        <w:keepNext w:val="1"/>
        <w:widowControl w:val="1"/>
      </w:pPr>
      <w:r>
        <w:t>universidades y centros de investigación reconocidos</w:t>
      </w:r>
    </w:p>
    <w:p>
      <w:pPr>
        <w:pStyle w:val="ListBullet"/>
        <w:keepLines w:val="1"/>
        <w:keepNext w:val="1"/>
        <w:widowControl w:val="1"/>
      </w:pPr>
      <w:r>
        <w:t>instituciones educativas y científicas de prestigio</w:t>
      </w:r>
    </w:p>
    <w:p>
      <w:pPr>
        <w:pStyle w:val="ListBullet"/>
        <w:keepLines w:val="1"/>
        <w:keepNext w:val="1"/>
        <w:widowControl w:val="1"/>
      </w:pPr>
      <w:r>
        <w:t>documentación oficial del fabricante, desarrollador o creador de la tecnología (cuando el tema investigado sea una tecnología o herramienta específica).</w:t>
      </w:r>
    </w:p>
    <w:p>
      <w:pPr>
        <w:pStyle w:val="ListBullet"/>
        <w:keepLines w:val="1"/>
        <w:widowControl w:val="1"/>
      </w:pPr>
      <w:r>
        <w:t>Informes industriales y documentación técnica.</w:t>
        <w:br/>
        <w:t>Descarta blogs personales, foros, contenido opinativo, marketing no técnico y fuentes sin autor.</w:t>
        <w:br/>
        <w:t>Cuida el lenguaje español, minimiza el uso de listas o viñetas de posibles respuestas ad hoc a las preguntas inquisitivas de la encuesta. Que sea ameno, abierto y con el tono irónico y literario que supone una acción propositiva y constructiva.</w:t>
      </w:r>
    </w:p>
    <w:p>
      <w:r>
        <w:t>La Norma ISO/IEC 42001 no trae “la tabla mágica de KPIs de ciberseguridad para IA”, pero sí obliga a diseñarla, justificarla y medirla con la misma disciplina con la que un actuario mira una hoja de cálculo y un CISO mira un SIEM. A partir de ahí, se puede construir un sistema nacional de indicadores para España alineado con el Esquema Nacional de Seguridad, la ENIA, el EU AI Act y la estadística (cada vez más preocupante) de incidentes que reporta INCIBE.</w:t>
      </w:r>
      <w:r/>
      <w:r>
        <w:rPr/>
        <w:footnoteReference w:id="1"/>
      </w:r>
      <w:r/>
      <w:r>
        <w:rPr/>
        <w:footnoteReference w:id="2"/>
      </w:r>
      <w:r/>
      <w:r>
        <w:rPr/>
        <w:footnoteReference w:id="3"/>
      </w:r>
      <w:r/>
      <w:r>
        <w:rPr/>
        <w:footnoteReference w:id="4"/>
      </w:r>
      <w:r/>
      <w:r>
        <w:rPr/>
        <w:footnoteReference w:id="5"/>
      </w:r>
      <w:r/>
      <w:r>
        <w:rPr/>
        <w:footnoteReference w:id="6"/>
      </w:r>
      <w:r/>
      <w:r>
        <w:rPr/>
        <w:footnoteReference w:id="7"/>
      </w:r>
      <w:r/>
      <w:r>
        <w:rPr/>
        <w:footnoteReference w:id="8"/>
      </w:r>
    </w:p>
    <w:p>
      <w:pPr>
        <w:pStyle w:val="Heading2"/>
        <w:keepNext/>
        <w:keepLines/>
      </w:pPr>
      <w:r>
        <w:rPr>
          <w:color w:val="0066CC"/>
        </w:rPr>
        <w:t>1. Qué exige realmente ISO 42001 sobre indicadores</w:t>
      </w:r>
    </w:p>
    <w:p>
      <w:r>
        <w:t>ISO/IEC 42001 es un sistema de gestión para IA (AIMS) que sigue el ciclo PDCA y replica la lógica de ISO 27001: no te da métricas cerradas, te exige demostrar que sabes qué medir, cómo, cuándo y para qué. La “fábrica de indicadores” está sobre todo en la cláusula 9 (evaluación del desempeño) y en el Anexo A, que aterriza en controles concretos lo que antes eran buenas intenciones de gobernanza.</w:t>
      </w:r>
      <w:r/>
      <w:r>
        <w:rPr/>
        <w:footnoteReference w:id="9"/>
      </w:r>
      <w:r/>
      <w:r>
        <w:rPr/>
        <w:footnoteReference w:id="4"/>
      </w:r>
      <w:r/>
      <w:r>
        <w:rPr/>
        <w:footnoteReference w:id="10"/>
      </w:r>
      <w:r/>
      <w:r>
        <w:rPr/>
        <w:footnoteReference w:id="5"/>
      </w:r>
      <w:r/>
      <w:r>
        <w:rPr/>
        <w:footnoteReference w:id="7"/>
      </w:r>
    </w:p>
    <w:p>
      <w:r>
        <w:t>La cláusula 9.1 obliga a definir qué se monitoriza, los métodos de medición, la frecuencia y cómo se analizan y evalúan los resultados, distinguiendo entre desempeño (resultados medibles) y eficacia (grado en que se logran los resultados previstos). Esto se complementa con auditorías internas del AIMS y revisiones por la alta dirección que deben basarse en evidencias cuantificables: tendencias de incidentes, eficacia de controles, cumplimiento de objetivos y ajustes necesarios.</w:t>
      </w:r>
      <w:r/>
      <w:r>
        <w:rPr/>
        <w:footnoteReference w:id="5"/>
      </w:r>
      <w:r/>
      <w:r>
        <w:rPr/>
        <w:footnoteReference w:id="11"/>
      </w:r>
      <w:r/>
      <w:r>
        <w:rPr/>
        <w:footnoteReference w:id="7"/>
      </w:r>
      <w:r/>
      <w:r>
        <w:rPr/>
        <w:footnoteReference w:id="12"/>
      </w:r>
    </w:p>
    <w:p>
      <w:r>
        <w:t>En los guías técnicas de implementación se explicita que la organización debe definir KPIs para el rendimiento del sistema de IA (precisión, sesgo, deriva, incidentes, tasas de intervención humana, reclamaciones) y para el propio AIMS (cumplimiento de políticas, tiempos de respuesta, madurez de controles). El mensaje subyacente es simple y cruel: si no puedes enseñar series temporales, umbrales, alertas y decisiones tomadas a partir de los datos, no estás cumpliendo el espíritu de ISO 42001 aunque tengas el sello en la pared.</w:t>
      </w:r>
      <w:r/>
      <w:r>
        <w:rPr/>
        <w:footnoteReference w:id="13"/>
      </w:r>
      <w:r/>
      <w:r>
        <w:rPr/>
        <w:footnoteReference w:id="14"/>
      </w:r>
      <w:r/>
      <w:r>
        <w:rPr/>
        <w:footnoteReference w:id="11"/>
      </w:r>
      <w:r/>
      <w:r>
        <w:rPr/>
        <w:footnoteReference w:id="7"/>
      </w:r>
      <w:r/>
      <w:r>
        <w:rPr/>
        <w:footnoteReference w:id="12"/>
      </w:r>
      <w:r/>
      <w:r>
        <w:rPr/>
        <w:footnoteReference w:id="5"/>
      </w:r>
    </w:p>
    <w:p>
      <w:pPr>
        <w:pStyle w:val="Heading2"/>
        <w:keepNext/>
        <w:keepLines/>
      </w:pPr>
      <w:r>
        <w:rPr>
          <w:color w:val="0066CC"/>
        </w:rPr>
        <w:t>2. Tipología de indicadores de ciberseguridad en ISO 42001</w:t>
      </w:r>
    </w:p>
    <w:p>
      <w:r>
        <w:t>Aunque el texto oficial no enumera un catálogo normativo de métricas de seguridad, el ecosistema de guías 2025–2026 converge en una taxonomía bastante estable de indicadores de ciberseguridad específicos de IA. Estos indicadores se articulan sobre los controles de Anexo A en torno a gestión de riesgos, ciclo de vida de los sistemas de IA, datos, monitorización operacional, seguridad y abuso, y relación con terceros.</w:t>
      </w:r>
      <w:r/>
      <w:r>
        <w:rPr/>
        <w:footnoteReference w:id="15"/>
      </w:r>
      <w:r/>
      <w:r>
        <w:rPr/>
        <w:footnoteReference w:id="16"/>
      </w:r>
      <w:r/>
      <w:r>
        <w:rPr/>
        <w:footnoteReference w:id="17"/>
      </w:r>
      <w:r/>
      <w:r>
        <w:rPr/>
        <w:footnoteReference w:id="18"/>
      </w:r>
      <w:r/>
      <w:r>
        <w:rPr/>
        <w:footnoteReference w:id="19"/>
      </w:r>
      <w:r/>
      <w:r>
        <w:rPr/>
        <w:footnoteReference w:id="4"/>
      </w:r>
      <w:r/>
      <w:r>
        <w:rPr/>
        <w:footnoteReference w:id="10"/>
      </w:r>
      <w:r/>
      <w:r>
        <w:rPr/>
        <w:footnoteReference w:id="14"/>
      </w:r>
      <w:r/>
      <w:r>
        <w:rPr/>
        <w:footnoteReference w:id="7"/>
      </w:r>
      <w:r/>
      <w:r>
        <w:rPr/>
        <w:footnoteReference w:id="20"/>
      </w:r>
      <w:r/>
      <w:r>
        <w:rPr/>
        <w:footnoteReference w:id="13"/>
      </w:r>
      <w:r/>
      <w:r>
        <w:rPr/>
        <w:footnoteReference w:id="5"/>
      </w:r>
    </w:p>
    <w:p>
      <w:r>
        <w:t>1) Indicadores de superficie de exposición y control básico</w:t>
      </w:r>
      <w:r/>
      <w:r>
        <w:br/>
        <w:t>Se utilizan para responder a la pregunta “¿qué demonios estoy exponiendo?”. Entre los más habituales en las implementaciones 42001 de 2025–2026 aparecen:</w:t>
      </w:r>
      <w:r/>
      <w:r>
        <w:rPr/>
        <w:footnoteReference w:id="16"/>
      </w:r>
      <w:r/>
      <w:r>
        <w:rPr/>
        <w:footnoteReference w:id="19"/>
      </w:r>
      <w:r/>
      <w:r>
        <w:rPr/>
        <w:footnoteReference w:id="10"/>
      </w:r>
      <w:r/>
      <w:r>
        <w:rPr/>
        <w:footnoteReference w:id="14"/>
      </w:r>
      <w:r/>
      <w:r>
        <w:rPr/>
        <w:footnoteReference w:id="7"/>
      </w:r>
      <w:r/>
      <w:r>
        <w:rPr/>
        <w:footnoteReference w:id="15"/>
      </w:r>
      <w:r/>
      <w:r>
        <w:rPr/>
        <w:footnoteReference w:id="13"/>
      </w:r>
    </w:p>
    <w:p>
      <w:pPr>
        <w:pStyle w:val="ListBullet"/>
        <w:keepLines w:val="1"/>
        <w:keepNext w:val="1"/>
        <w:widowControl w:val="1"/>
      </w:pPr>
      <w:r>
        <w:t>Número de sistemas de IA en producción, por nivel de riesgo (alto/medio/bajo según EU AI Act u otro esquema).10141516</w:t>
      </w:r>
    </w:p>
    <w:p>
      <w:pPr>
        <w:pStyle w:val="ListBullet"/>
        <w:keepLines w:val="1"/>
        <w:keepNext w:val="1"/>
        <w:widowControl w:val="1"/>
      </w:pPr>
      <w:r>
        <w:t>Porcentaje de sistemas de IA con inventario y ficha técnica/model card completa, incluyendo dependencias externas, datos, versión del modelo y responsables.19151610</w:t>
      </w:r>
    </w:p>
    <w:p>
      <w:pPr>
        <w:pStyle w:val="ListBullet"/>
        <w:keepLines w:val="1"/>
        <w:widowControl w:val="1"/>
      </w:pPr>
      <w:r>
        <w:t>Porcentaje de sistemas de IA con controles de autenticación, autorización y logging integrados con la infraestructura de seguridad corporativa (IAM, SIEM, SOAR, etc.).1718151610</w:t>
      </w:r>
    </w:p>
    <w:p>
      <w:r>
        <w:t>2) Indicadores de riesgo y vulnerabilidad específicos de IA</w:t>
      </w:r>
      <w:r/>
      <w:r>
        <w:br/>
        <w:t>El foco aquí es la “higiene” de seguridad y la exposición a ataques propios de modelos y datos. Son frecuentes:</w:t>
      </w:r>
      <w:r/>
      <w:r>
        <w:rPr/>
        <w:footnoteReference w:id="18"/>
      </w:r>
      <w:r/>
      <w:r>
        <w:rPr/>
        <w:footnoteReference w:id="14"/>
      </w:r>
      <w:r/>
      <w:r>
        <w:rPr/>
        <w:footnoteReference w:id="15"/>
      </w:r>
      <w:r/>
      <w:r>
        <w:rPr/>
        <w:footnoteReference w:id="16"/>
      </w:r>
      <w:r/>
      <w:r>
        <w:rPr/>
        <w:footnoteReference w:id="17"/>
      </w:r>
      <w:r/>
      <w:r>
        <w:rPr/>
        <w:footnoteReference w:id="13"/>
      </w:r>
      <w:r/>
      <w:r>
        <w:rPr/>
        <w:footnoteReference w:id="19"/>
      </w:r>
      <w:r/>
      <w:r>
        <w:rPr/>
        <w:footnoteReference w:id="10"/>
      </w:r>
      <w:r/>
      <w:r>
        <w:rPr/>
        <w:footnoteReference w:id="5"/>
      </w:r>
    </w:p>
    <w:p>
      <w:pPr>
        <w:pStyle w:val="ListBullet"/>
        <w:keepLines w:val="1"/>
        <w:keepNext w:val="1"/>
        <w:widowControl w:val="1"/>
      </w:pPr>
      <w:r>
        <w:t>Número de vulnerabilidades o debilidades detectadas en sistemas de IA (clasificadas por criticidad) mediante pruebas de seguridad, red team de IA o auditorías.15161318105</w:t>
      </w:r>
    </w:p>
    <w:p>
      <w:pPr>
        <w:pStyle w:val="ListBullet"/>
        <w:keepLines w:val="1"/>
        <w:keepNext w:val="1"/>
        <w:widowControl w:val="1"/>
      </w:pPr>
      <w:r>
        <w:t>Porcentaje de modelos sometidos a pruebas de ataques de prompt injection, data poisoning, exfiltración de datos o “jailbreaks”, con tasas de éxito/fracaso de los ataques simulados.1613181015</w:t>
      </w:r>
    </w:p>
    <w:p>
      <w:pPr>
        <w:pStyle w:val="ListBullet"/>
        <w:keepLines w:val="1"/>
        <w:widowControl w:val="1"/>
      </w:pPr>
      <w:r>
        <w:t>Tiempo medio de subsanación de vulnerabilidades de IA desde su detección hasta el cierre verificado (MTTR específico de IA).71310516</w:t>
      </w:r>
    </w:p>
    <w:p>
      <w:r>
        <w:t>3) Indicadores de incidentes de seguridad en IA</w:t>
      </w:r>
      <w:r/>
      <w:r>
        <w:br/>
        <w:t>Aquí la métrica estrella es la capacidad de detectar, contener y aprender de incidentes que involucran IA como objetivo, vector o amplificador del daño. Se suelen ver:</w:t>
      </w:r>
      <w:r/>
      <w:r>
        <w:rPr/>
        <w:footnoteReference w:id="14"/>
      </w:r>
      <w:r/>
      <w:r>
        <w:rPr/>
        <w:footnoteReference w:id="13"/>
      </w:r>
      <w:r/>
      <w:r>
        <w:rPr/>
        <w:footnoteReference w:id="10"/>
      </w:r>
      <w:r/>
      <w:r>
        <w:rPr/>
        <w:footnoteReference w:id="5"/>
      </w:r>
      <w:r/>
      <w:r>
        <w:rPr/>
        <w:footnoteReference w:id="7"/>
      </w:r>
      <w:r/>
      <w:r>
        <w:rPr/>
        <w:footnoteReference w:id="15"/>
      </w:r>
      <w:r/>
      <w:r>
        <w:rPr/>
        <w:footnoteReference w:id="16"/>
      </w:r>
    </w:p>
    <w:p>
      <w:pPr>
        <w:pStyle w:val="ListBullet"/>
        <w:keepLines w:val="1"/>
        <w:keepNext w:val="1"/>
        <w:widowControl w:val="1"/>
      </w:pPr>
      <w:r>
        <w:t>Número de incidentes de seguridad relacionados con IA (por tipo: fuga de datos, decisión indebida, uso malicioso, degradación de servicio ligada a modelo, etc.).131051516</w:t>
      </w:r>
    </w:p>
    <w:p>
      <w:pPr>
        <w:pStyle w:val="ListBullet"/>
        <w:keepLines w:val="1"/>
        <w:keepNext w:val="1"/>
        <w:widowControl w:val="1"/>
      </w:pPr>
      <w:r>
        <w:t>Porcentaje de incidentes de IA detectados automáticamente frente a incidentes detectados por usuarios, medios o terceros.105151613</w:t>
      </w:r>
    </w:p>
    <w:p>
      <w:pPr>
        <w:pStyle w:val="ListBullet"/>
        <w:keepLines w:val="1"/>
        <w:widowControl w:val="1"/>
      </w:pPr>
      <w:r>
        <w:t>Tiempo medio de detección y contención de incidentes de IA (MTTD y MTTC).5715161310</w:t>
      </w:r>
    </w:p>
    <w:p>
      <w:r>
        <w:t>4) Indicadores de monitorización continua: drift, anomalías y abuso</w:t>
      </w:r>
      <w:r/>
      <w:r>
        <w:br/>
        <w:t>El AIMS exige “telemetría definida” y mecanismos de monitorización que cubran rendimiento, deriva, seguridad y feedback de usuarios, lo que se traduce en KPIs de vigilancia continua. Entre ellos:</w:t>
      </w:r>
      <w:r/>
      <w:r>
        <w:rPr/>
        <w:footnoteReference w:id="11"/>
      </w:r>
      <w:r/>
      <w:r>
        <w:rPr/>
        <w:footnoteReference w:id="19"/>
      </w:r>
      <w:r/>
      <w:r>
        <w:rPr/>
        <w:footnoteReference w:id="14"/>
      </w:r>
      <w:r/>
      <w:r>
        <w:rPr/>
        <w:footnoteReference w:id="7"/>
      </w:r>
      <w:r/>
      <w:r>
        <w:rPr/>
        <w:footnoteReference w:id="10"/>
      </w:r>
      <w:r/>
      <w:r>
        <w:rPr/>
        <w:footnoteReference w:id="5"/>
      </w:r>
    </w:p>
    <w:p>
      <w:pPr>
        <w:pStyle w:val="ListBullet"/>
        <w:keepLines w:val="1"/>
        <w:keepNext w:val="1"/>
        <w:widowControl w:val="1"/>
      </w:pPr>
      <w:r>
        <w:t>Porcentaje de modelos con detección de deriva (drift) activa y umbrales definidos, con número de alertas generadas y atendidas en un periodo.1914105</w:t>
      </w:r>
    </w:p>
    <w:p>
      <w:pPr>
        <w:pStyle w:val="ListBullet"/>
        <w:keepLines w:val="1"/>
        <w:keepNext w:val="1"/>
        <w:widowControl w:val="1"/>
      </w:pPr>
      <w:r>
        <w:t>Volumen de anomalías de predicción o uso (picos de consultas, patrones de abuso, inputs maliciosos) detectadas por los sistemas de IA y escaladas a los equipos de seguridad.151619105</w:t>
      </w:r>
    </w:p>
    <w:p>
      <w:pPr>
        <w:pStyle w:val="ListBullet"/>
        <w:keepLines w:val="1"/>
        <w:widowControl w:val="1"/>
      </w:pPr>
      <w:r>
        <w:t>Porcentaje de sistemas de IA que incorporan mecanismos de rate limiting, filtrado de contenido y restricciones de contexto para minimizar vectores de abuso.1718161015</w:t>
      </w:r>
    </w:p>
    <w:p>
      <w:r>
        <w:t>5) Indicadores de seguridad de datos para IA</w:t>
      </w:r>
      <w:r/>
      <w:r>
        <w:br/>
        <w:t>La gestión de datos —especialmente datos personales, sensibles o críticos— aparece como uno de los ejes de controles en Annex A, con fuerte convergencia con ISO 27001 y el Reglamento de IA de la UE. Así, se utilizan métricas como:</w:t>
      </w:r>
      <w:r/>
      <w:r>
        <w:rPr/>
        <w:footnoteReference w:id="4"/>
      </w:r>
      <w:r/>
      <w:r>
        <w:rPr/>
        <w:footnoteReference w:id="20"/>
      </w:r>
      <w:r/>
      <w:r>
        <w:rPr/>
        <w:footnoteReference w:id="19"/>
      </w:r>
      <w:r/>
      <w:r>
        <w:rPr/>
        <w:footnoteReference w:id="10"/>
      </w:r>
    </w:p>
    <w:p>
      <w:pPr>
        <w:pStyle w:val="ListBullet"/>
        <w:keepLines w:val="1"/>
        <w:keepNext w:val="1"/>
        <w:widowControl w:val="1"/>
      </w:pPr>
      <w:r>
        <w:t>Porcentaje de datasets de entrenamiento, validación y test con evaluación de sensibilidad, clasificación y controles de acceso documentados.16191015</w:t>
      </w:r>
    </w:p>
    <w:p>
      <w:pPr>
        <w:pStyle w:val="ListBullet"/>
        <w:keepLines w:val="1"/>
        <w:keepNext w:val="1"/>
        <w:widowControl w:val="1"/>
      </w:pPr>
      <w:r>
        <w:t>Porcentaje de datasets anonimizados o pseudonimizados cuando procede, con validación de efectividad de la anonimización.19101516</w:t>
      </w:r>
    </w:p>
    <w:p>
      <w:pPr>
        <w:pStyle w:val="ListBullet"/>
        <w:keepLines w:val="1"/>
        <w:widowControl w:val="1"/>
      </w:pPr>
      <w:r>
        <w:t>Número de accesos no autorizados o intentos de acceso a datos de IA detectados y bloqueados.1817101516</w:t>
      </w:r>
    </w:p>
    <w:p>
      <w:r>
        <w:t>6) Indicadores de cumplimiento, terceros y cadena de suministro de IA</w:t>
      </w:r>
      <w:r/>
      <w:r>
        <w:br/>
        <w:t>Dado el uso masivo de servicios de IA de terceros, modelos fundacionales y APIs, el estándar refuerza el control sobre proveedores. De ahí que se midan:</w:t>
      </w:r>
      <w:r/>
      <w:r>
        <w:rPr/>
        <w:footnoteReference w:id="20"/>
      </w:r>
      <w:r/>
      <w:r>
        <w:rPr/>
        <w:footnoteReference w:id="4"/>
      </w:r>
      <w:r/>
      <w:r>
        <w:rPr/>
        <w:footnoteReference w:id="10"/>
      </w:r>
      <w:r/>
      <w:r>
        <w:rPr/>
        <w:footnoteReference w:id="15"/>
      </w:r>
      <w:r/>
      <w:r>
        <w:rPr/>
        <w:footnoteReference w:id="16"/>
      </w:r>
      <w:r/>
      <w:r>
        <w:rPr/>
        <w:footnoteReference w:id="19"/>
      </w:r>
    </w:p>
    <w:p>
      <w:pPr>
        <w:pStyle w:val="ListBullet"/>
        <w:keepLines w:val="1"/>
        <w:keepNext w:val="1"/>
        <w:widowControl w:val="1"/>
      </w:pPr>
      <w:r>
        <w:t>Porcentaje de proveedores de IA evaluados y aprobados según criterios de seguridad, privacidad y cumplimiento (incluyendo EU AI Act, RGPD y ENS).14101516</w:t>
      </w:r>
    </w:p>
    <w:p>
      <w:pPr>
        <w:pStyle w:val="ListBullet"/>
        <w:keepLines w:val="1"/>
        <w:keepNext w:val="1"/>
        <w:widowControl w:val="1"/>
      </w:pPr>
      <w:r>
        <w:t>Porcentaje de contratos con cláusulas específicas sobre seguridad de IA, disponibilidad, respuesta ante incidentes y derecho de auditoría.10151619</w:t>
      </w:r>
    </w:p>
    <w:p>
      <w:pPr>
        <w:pStyle w:val="ListBullet"/>
        <w:keepLines w:val="1"/>
        <w:widowControl w:val="1"/>
      </w:pPr>
      <w:r>
        <w:t>Número de incidentes o incumplimientos de seguridad atribuibles a terceros de IA.151610</w:t>
      </w:r>
    </w:p>
    <w:p>
      <w:r>
        <w:t>7) Indicadores de gobernanza, cultura y capacidad</w:t>
      </w:r>
      <w:r/>
      <w:r>
        <w:br/>
        <w:t>Por último, un grupo de métricas “incómodas” para directivos porque midan algo peor que la latencia: la madurez organizativa en IA y ciberseguridad. Se ven ejemplos como:</w:t>
      </w:r>
      <w:r/>
      <w:r>
        <w:rPr/>
        <w:footnoteReference w:id="7"/>
      </w:r>
      <w:r/>
      <w:r>
        <w:rPr/>
        <w:footnoteReference w:id="13"/>
      </w:r>
      <w:r/>
      <w:r>
        <w:rPr/>
        <w:footnoteReference w:id="5"/>
      </w:r>
      <w:r/>
      <w:r>
        <w:rPr/>
        <w:footnoteReference w:id="14"/>
      </w:r>
      <w:r/>
      <w:r>
        <w:rPr/>
        <w:footnoteReference w:id="16"/>
      </w:r>
      <w:r/>
      <w:r>
        <w:rPr/>
        <w:footnoteReference w:id="19"/>
      </w:r>
      <w:r/>
      <w:r>
        <w:rPr/>
        <w:footnoteReference w:id="10"/>
      </w:r>
      <w:r/>
      <w:r>
        <w:rPr/>
        <w:footnoteReference w:id="15"/>
      </w:r>
    </w:p>
    <w:p>
      <w:pPr>
        <w:pStyle w:val="ListBullet"/>
        <w:keepLines w:val="1"/>
        <w:keepNext w:val="1"/>
        <w:widowControl w:val="1"/>
      </w:pPr>
      <w:r>
        <w:t>Porcentaje de casos de uso de IA sometidos a evaluación de impacto (técnica, ética y de seguridad) antes de pasar a producción.1416191015</w:t>
      </w:r>
    </w:p>
    <w:p>
      <w:pPr>
        <w:pStyle w:val="ListBullet"/>
        <w:keepLines w:val="1"/>
        <w:keepNext w:val="1"/>
        <w:widowControl w:val="1"/>
      </w:pPr>
      <w:r>
        <w:t>Porcentaje de personal crítico (desarrolladores de IA, MLOps, ciberseguridad) que recibe formación específica anual en riesgos de IA, seguridad de modelos y normativas aplicables.813161015</w:t>
      </w:r>
    </w:p>
    <w:p>
      <w:pPr>
        <w:pStyle w:val="ListBullet"/>
        <w:keepLines w:val="1"/>
        <w:widowControl w:val="1"/>
      </w:pPr>
      <w:r>
        <w:t>Número de revisiones de la alta dirección del AIMS al año y decisiones tomadas en base a indicadores (ajustes de recursos, rediseño de controles, cambios de apetito de riesgo).57</w:t>
      </w:r>
    </w:p>
    <w:p>
      <w:pPr>
        <w:pStyle w:val="Heading2"/>
        <w:keepNext/>
        <w:keepLines/>
      </w:pPr>
      <w:r>
        <w:rPr>
          <w:color w:val="0066CC"/>
        </w:rPr>
        <w:t>3. Tendencias desde 2025: de KPIs “ISO 27001 con pegatinas de IA” a métricas realmente específicas</w:t>
      </w:r>
    </w:p>
    <w:p>
      <w:r>
        <w:t>En 2023–2024 abundaban las implementaciones que básicamente reciclaban KPIs de ISO 27001 con un ligero maquillaje semántico de “modelo” y “dataset”. A partir de 2025, sin embargo, el conjunto de experiencias acumuladas, el empuje del EU AI Act y la presión de auditores y grandes consultoras ha desplazado la curva hacia métricas diseñadas explícitamente para IA.</w:t>
      </w:r>
      <w:r/>
      <w:r>
        <w:rPr/>
        <w:footnoteReference w:id="21"/>
      </w:r>
      <w:r/>
      <w:r>
        <w:rPr/>
        <w:footnoteReference w:id="9"/>
      </w:r>
      <w:r/>
      <w:r>
        <w:rPr/>
        <w:footnoteReference w:id="13"/>
      </w:r>
      <w:r/>
      <w:r>
        <w:rPr/>
        <w:footnoteReference w:id="18"/>
      </w:r>
      <w:r/>
      <w:r>
        <w:rPr/>
        <w:footnoteReference w:id="7"/>
      </w:r>
      <w:r/>
      <w:r>
        <w:rPr/>
        <w:footnoteReference w:id="16"/>
      </w:r>
      <w:r/>
      <w:r>
        <w:rPr/>
        <w:footnoteReference w:id="10"/>
      </w:r>
      <w:r/>
      <w:r>
        <w:rPr/>
        <w:footnoteReference w:id="5"/>
      </w:r>
      <w:r/>
      <w:r>
        <w:rPr/>
        <w:footnoteReference w:id="14"/>
      </w:r>
      <w:r/>
      <w:r>
        <w:rPr/>
        <w:footnoteReference w:id="15"/>
      </w:r>
    </w:p>
    <w:p>
      <w:r>
        <w:t>Una primera tendencia clara es la integración de métricas de seguridad y métricas de calidad de modelos en paneles unificados, de manera que desviaciones de precisión, sesgo o drift se traten como indicadores de riesgo operativo y de ciberseguridad, no como “problemas de ciencia de datos”. Se está normalizando, por ejemplo, definir umbrales de deriva o de “toxicidad” de respuestas que disparan procesos de gestión de incidentes y no solo tareas de retraining.</w:t>
      </w:r>
      <w:r/>
      <w:r>
        <w:rPr/>
        <w:footnoteReference w:id="13"/>
      </w:r>
      <w:r/>
      <w:r>
        <w:rPr/>
        <w:footnoteReference w:id="16"/>
      </w:r>
      <w:r/>
      <w:r>
        <w:rPr/>
        <w:footnoteReference w:id="19"/>
      </w:r>
      <w:r/>
      <w:r>
        <w:rPr/>
        <w:footnoteReference w:id="10"/>
      </w:r>
      <w:r/>
      <w:r>
        <w:rPr/>
        <w:footnoteReference w:id="5"/>
      </w:r>
      <w:r/>
      <w:r>
        <w:rPr/>
        <w:footnoteReference w:id="15"/>
      </w:r>
    </w:p>
    <w:p>
      <w:r>
        <w:t>La segunda tendencia es la formalización de telemetría de IA: logging detallado de prompts, contexto, salidas, decisiones automáticas, overrides humanos, señales de abuso y correlación con eventos de seguridad tradicionales. Esto permite indicadores como “porcentaje de respuestas bloqueadas por filtros de contenido”, “número de intentos de exfiltración de datos vía modelo” o “tasa de overrides humanos por tipo de decisión y unidad de negocio”.</w:t>
      </w:r>
      <w:r/>
      <w:r>
        <w:rPr/>
        <w:footnoteReference w:id="11"/>
      </w:r>
      <w:r/>
      <w:r>
        <w:rPr/>
        <w:footnoteReference w:id="16"/>
      </w:r>
      <w:r/>
      <w:r>
        <w:rPr/>
        <w:footnoteReference w:id="13"/>
      </w:r>
      <w:r/>
      <w:r>
        <w:rPr/>
        <w:footnoteReference w:id="19"/>
      </w:r>
      <w:r/>
      <w:r>
        <w:rPr/>
        <w:footnoteReference w:id="10"/>
      </w:r>
      <w:r/>
      <w:r>
        <w:rPr/>
        <w:footnoteReference w:id="5"/>
      </w:r>
      <w:r/>
      <w:r>
        <w:rPr/>
        <w:footnoteReference w:id="14"/>
      </w:r>
      <w:r/>
      <w:r>
        <w:rPr/>
        <w:footnoteReference w:id="15"/>
      </w:r>
    </w:p>
    <w:p>
      <w:r>
        <w:t>En tercer lugar, se aprecia una convergencia entre los requisitos de monitorización poscomercialización del EU AI Act y los KPIs de ISO 42001, de forma que los mismos indicadores y registros sirvan para demostrar cumplimiento ante reguladores y auditores de certificación. Guías industriales comparan explícitamente Annex A de ISO 42001 con Annex IV del AI Act y sugieren métricas que cubren a la vez logs, gestión de riesgos, pruebas y supervisión humana.</w:t>
      </w:r>
      <w:r/>
      <w:r>
        <w:rPr/>
        <w:footnoteReference w:id="9"/>
      </w:r>
      <w:r/>
      <w:r>
        <w:rPr/>
        <w:footnoteReference w:id="21"/>
      </w:r>
      <w:r/>
      <w:r>
        <w:rPr/>
        <w:footnoteReference w:id="18"/>
      </w:r>
      <w:r/>
      <w:r>
        <w:rPr/>
        <w:footnoteReference w:id="7"/>
      </w:r>
      <w:r/>
      <w:r>
        <w:rPr/>
        <w:footnoteReference w:id="10"/>
      </w:r>
      <w:r/>
      <w:r>
        <w:rPr/>
        <w:footnoteReference w:id="5"/>
      </w:r>
      <w:r/>
      <w:r>
        <w:rPr/>
        <w:footnoteReference w:id="14"/>
      </w:r>
      <w:r/>
      <w:r>
        <w:rPr/>
        <w:footnoteReference w:id="15"/>
      </w:r>
    </w:p>
    <w:p>
      <w:r>
        <w:t>Por último, el incremento de incidentes y ataques que usan IA como vector o amplificador ha empujado a medir, con cierto dramatismo, la parte de los SOC y CERT dedicada a IA: número de runbooks específicos, porcentaje de analistas formados en amenazas de IA, incidentes de phishing o malware asistidos por IA y uso de IA defensiva. Esta “IA que se defiende de la IA” también empieza a generar sus propios indicadores de desempeño y seguridad, creando una recursividad que haría feliz a cualquier filósofo de la ciencia y muy infeliz al equipo de reporting.</w:t>
      </w:r>
      <w:r/>
      <w:r>
        <w:rPr/>
        <w:footnoteReference w:id="3"/>
      </w:r>
      <w:r/>
      <w:r>
        <w:rPr/>
        <w:footnoteReference w:id="6"/>
      </w:r>
      <w:r/>
      <w:r>
        <w:rPr/>
        <w:footnoteReference w:id="8"/>
      </w:r>
      <w:r/>
      <w:r>
        <w:rPr/>
        <w:footnoteReference w:id="18"/>
      </w:r>
      <w:r/>
      <w:r>
        <w:rPr/>
        <w:footnoteReference w:id="13"/>
      </w:r>
      <w:r/>
      <w:r>
        <w:rPr/>
        <w:footnoteReference w:id="5"/>
      </w:r>
      <w:r/>
      <w:r>
        <w:rPr/>
        <w:footnoteReference w:id="15"/>
      </w:r>
    </w:p>
    <w:p>
      <w:pPr>
        <w:pStyle w:val="Heading2"/>
        <w:keepNext/>
        <w:keepLines/>
      </w:pPr>
      <w:r>
        <w:rPr>
          <w:color w:val="0066CC"/>
        </w:rPr>
        <w:t>4. Aplicación territorial a España: de ISO 42001 a un cuadro de mando nacional</w:t>
      </w:r>
    </w:p>
    <w:p>
      <w:r>
        <w:t>España llega a ISO 42001 con cierta ventaja: una Estrategia Nacional de IA, una Agenda España Digital 2025, un Esquema Nacional de Seguridad maduro y un ecosistema de INCIBE, CCN-CERT y otros actores acostumbrados a reportar indicadores a escala país. En 2024 se registraron más de 100.000 ciberataques en España, con un incidente “muy grave” aproximadamente cada tres días, y en 2025 INCIBE gestionó más de 122.000 incidentes, casi la mitad de ellos vinculados a malware con fuerte presencia de ransomware.</w:t>
      </w:r>
      <w:r/>
      <w:r>
        <w:rPr/>
        <w:footnoteReference w:id="2"/>
      </w:r>
      <w:r/>
      <w:r>
        <w:rPr/>
        <w:footnoteReference w:id="6"/>
      </w:r>
      <w:r/>
      <w:r>
        <w:rPr/>
        <w:footnoteReference w:id="1"/>
      </w:r>
      <w:r/>
      <w:r>
        <w:rPr/>
        <w:footnoteReference w:id="3"/>
      </w:r>
      <w:r/>
      <w:r>
        <w:rPr/>
        <w:footnoteReference w:id="8"/>
      </w:r>
    </w:p>
    <w:p>
      <w:r>
        <w:t>Si superponemos el marco de ISO 42001 sobre esta realidad, el resultado natural es un sistema de indicadores de ciberseguridad de IA que se integre con la estadística ya consolidada, pero añadiendo dimensiones específicas de IA. A nivel nacional podrían definirse, entre otros, indicadores como:</w:t>
      </w:r>
    </w:p>
    <w:p>
      <w:pPr>
        <w:pStyle w:val="ListBullet"/>
        <w:keepLines w:val="1"/>
        <w:keepNext w:val="1"/>
        <w:widowControl w:val="1"/>
      </w:pPr>
      <w:r>
        <w:t>Porcentaje de organismos del sector público estatal y comunidades autónomas que aplican ISO 42001 (o marco equivalente) a sus sistemas de IA críticos, alineados con el ENS y el AI Act.1249</w:t>
      </w:r>
    </w:p>
    <w:p>
      <w:pPr>
        <w:pStyle w:val="ListBullet"/>
        <w:keepLines w:val="1"/>
        <w:keepNext w:val="1"/>
        <w:widowControl w:val="1"/>
      </w:pPr>
      <w:r>
        <w:t>Número de incidentes de ciberseguridad en España en los que un sistema de IA es vector, objetivo o amplificador del ataque, con desglose por sector crítico (banca, transporte, energía) y tipo de amenaza.638</w:t>
      </w:r>
    </w:p>
    <w:p>
      <w:pPr>
        <w:pStyle w:val="ListBullet"/>
        <w:keepLines w:val="1"/>
        <w:widowControl w:val="1"/>
      </w:pPr>
      <w:r>
        <w:t>Porcentaje de sistemas de IA utilizados en servicios públicos esenciales que disponen de evaluación de impacto, telemetría de seguridad y procesos de revisión periódica conforme a los principios de ISO 42001.249115</w:t>
      </w:r>
    </w:p>
    <w:p>
      <w:r>
        <w:t>La propia Estrategia Nacional de IA hace hincapié en capacidades de supercomputación, laboratorios de computación cuántica y refuerzo de la ciberseguridad coordinada por INCIBE, lo que sugiere indicadores de infraestructuras críticas de IA: disponibilidad, incidentes, capacidad de respuesta y resiliencia. En la práctica, esto puede traducirse en cuadros de mando que combinen métricas de capacidad (nodos de cómputo, servicios de IA en operación), de riesgo (evaluaciones realizadas, niveles de riesgo residual) y de desempeño de seguridad (incidentes, tiempos de respuesta, efectividad de controles).</w:t>
      </w:r>
      <w:r/>
      <w:r>
        <w:rPr/>
        <w:footnoteReference w:id="3"/>
      </w:r>
      <w:r/>
      <w:r>
        <w:rPr/>
        <w:footnoteReference w:id="6"/>
      </w:r>
      <w:r/>
      <w:r>
        <w:rPr/>
        <w:footnoteReference w:id="8"/>
      </w:r>
      <w:r/>
      <w:r>
        <w:rPr/>
        <w:footnoteReference w:id="9"/>
      </w:r>
      <w:r/>
      <w:r>
        <w:rPr/>
        <w:footnoteReference w:id="1"/>
      </w:r>
      <w:r/>
      <w:r>
        <w:rPr/>
        <w:footnoteReference w:id="2"/>
      </w:r>
      <w:r/>
      <w:r>
        <w:rPr/>
        <w:footnoteReference w:id="15"/>
      </w:r>
    </w:p>
    <w:p>
      <w:r>
        <w:t>A nivel empresarial, los sectores más atacados en España —banca, transporte, energía— son, paradójicamente, los más proclives a desplegar IA avanzada para detección de fraude, predicción de fallos o gestión de demanda, por lo que son candidatos naturales a proyectos piloto de ISO 42001 con fuertes métricas de ciberseguridad. Nada impide (y mucho anima) que INCIBE y ENISA publiquen, además de estadísticas de incidentes, indicadores agregados sobre el grado de adopción de prácticas de gobernanza de IA tipo ISO 42001 y el impacto observado en la reducción o contención de incidentes.</w:t>
      </w:r>
      <w:r/>
      <w:r>
        <w:rPr/>
        <w:footnoteReference w:id="6"/>
      </w:r>
      <w:r/>
      <w:r>
        <w:rPr/>
        <w:footnoteReference w:id="8"/>
      </w:r>
      <w:r/>
      <w:r>
        <w:rPr/>
        <w:footnoteReference w:id="1"/>
      </w:r>
      <w:r/>
      <w:r>
        <w:rPr/>
        <w:footnoteReference w:id="3"/>
      </w:r>
      <w:r/>
      <w:r>
        <w:rPr/>
        <w:footnoteReference w:id="18"/>
      </w:r>
    </w:p>
    <w:p>
      <w:pPr>
        <w:pStyle w:val="Heading2"/>
        <w:keepNext/>
        <w:keepLines/>
      </w:pPr>
      <w:r>
        <w:rPr>
          <w:color w:val="0066CC"/>
        </w:rPr>
        <w:t>5. Comparación internacional y líneas propositivas</w:t>
      </w:r>
    </w:p>
    <w:p>
      <w:r>
        <w:t>A escala global, ISO 42001 se está convirtiendo en la lengua franca con la que se discuten KPIs de ciberseguridad en IA, de forma análoga a lo que ISO 27001 hizo para la seguridad de la información. Países con fuertes marcos regulatorios de IA (UE con el AI Act, Reino Unido con su enfoque de “pro-innovación”, y jurisdicciones asiáticas que combinan estrategia industrial con controles de seguridad) están convergiendo en una combinación de indicadores de gestión del riesgo, incidentes, telemetría, proveedores y cultura organizativa.</w:t>
      </w:r>
      <w:r/>
      <w:r>
        <w:rPr/>
        <w:footnoteReference w:id="22"/>
      </w:r>
      <w:r/>
      <w:r>
        <w:rPr/>
        <w:footnoteReference w:id="21"/>
      </w:r>
      <w:r/>
      <w:r>
        <w:rPr/>
        <w:footnoteReference w:id="4"/>
      </w:r>
      <w:r/>
      <w:r>
        <w:rPr/>
        <w:footnoteReference w:id="9"/>
      </w:r>
      <w:r/>
      <w:r>
        <w:rPr/>
        <w:footnoteReference w:id="18"/>
      </w:r>
      <w:r/>
      <w:r>
        <w:rPr/>
        <w:footnoteReference w:id="7"/>
      </w:r>
      <w:r/>
      <w:r>
        <w:rPr/>
        <w:footnoteReference w:id="10"/>
      </w:r>
      <w:r/>
      <w:r>
        <w:rPr/>
        <w:footnoteReference w:id="5"/>
      </w:r>
      <w:r/>
      <w:r>
        <w:rPr/>
        <w:footnoteReference w:id="15"/>
      </w:r>
    </w:p>
    <w:p>
      <w:r>
        <w:t>La posición de España, con un ecosistema de ciberseguridad consolidado y una estrategia digital que explícitamente cita IA y ciberseguridad como ejes, permite aspirar a algo más que simplemente adoptar ISO 42001: puede usarlo para definir un “cuadro de mando nacional de IA segura y confiable”. Eso implica, entre otras cosas, armonizar indicadores sectoriales, incorporar requisitos de reporting de IA en esquemas de licencias y supervisión, y fomentar que los datos agregados se utilicen para investigación académica y mejora del propio sistema de gestión.</w:t>
      </w:r>
      <w:r/>
      <w:r>
        <w:rPr/>
        <w:footnoteReference w:id="22"/>
      </w:r>
      <w:r/>
      <w:r>
        <w:rPr/>
        <w:footnoteReference w:id="8"/>
      </w:r>
      <w:r/>
      <w:r>
        <w:rPr/>
        <w:footnoteReference w:id="1"/>
      </w:r>
      <w:r/>
      <w:r>
        <w:rPr/>
        <w:footnoteReference w:id="2"/>
      </w:r>
      <w:r/>
      <w:r>
        <w:rPr/>
        <w:footnoteReference w:id="3"/>
      </w:r>
      <w:r/>
      <w:r>
        <w:rPr/>
        <w:footnoteReference w:id="6"/>
      </w:r>
    </w:p>
    <w:p>
      <w:r>
        <w:t>Desde una perspectiva más filosófica (y ligeramente irónica), ISO 42001 nos invita a abandonar la ilusión de que basta con “confiar en la IA” o “confiar en el proveedor” y a aceptar que la confianza se mide, se audita y se corrige igual que cualquier otra propiedad de un sistema complejo. El reto, a nivel nacional e internacional, no es sólo definir indicadores brillantes en papel, sino construir incentivos para que se reporten con honestidad y se usen para tomar decisiones incómodas: detener despliegues, cambiar proveedores, rediseñar arquitecturas o incluso admitir que ciertos usos de IA sencillamente no son aceptables.</w:t>
      </w:r>
      <w:r/>
      <w:r>
        <w:rPr/>
        <w:footnoteReference w:id="21"/>
      </w:r>
      <w:r/>
      <w:r>
        <w:rPr/>
        <w:footnoteReference w:id="4"/>
      </w:r>
      <w:r/>
      <w:r>
        <w:rPr/>
        <w:footnoteReference w:id="9"/>
      </w:r>
      <w:r/>
      <w:r>
        <w:rPr/>
        <w:footnoteReference w:id="22"/>
      </w:r>
      <w:r/>
      <w:r>
        <w:rPr/>
        <w:footnoteReference w:id="18"/>
      </w:r>
      <w:r/>
      <w:r>
        <w:rPr/>
        <w:footnoteReference w:id="7"/>
      </w:r>
      <w:r/>
      <w:r>
        <w:rPr/>
        <w:footnoteReference w:id="19"/>
      </w:r>
      <w:r/>
      <w:r>
        <w:rPr/>
        <w:footnoteReference w:id="10"/>
      </w:r>
      <w:r/>
      <w:r>
        <w:rPr/>
        <w:footnoteReference w:id="5"/>
      </w:r>
      <w:r/>
      <w:r>
        <w:rPr/>
        <w:footnoteReference w:id="15"/>
      </w:r>
    </w:p>
    <w:sectPr w:rsidR="00FC693F" w:rsidRPr="0006063C" w:rsidSect="00034616">
      <w:headerReference w:type="default" r:id="rId9"/>
      <w:pgSz w:w="12240" w:h="15840"/>
      <w:pgMar w:top="216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http://schemas.openxmlformats.org/wordprocessingml/2006/main">
  <w:footnote w:type="separator" w:id="-1">
    <w:p>
      <w:r>
        <w:separator/>
      </w:r>
    </w:p>
  </w:footnote>
  <w:footnote w:type="continuationSeparator" w:id="0">
    <w:p>
      <w:r>
        <w:continuationSeparator/>
      </w:r>
    </w:p>
  </w:footnote>
  <w:footnote w:id="1">
    <w:p>
      <w:pPr>
        <w:pStyle w:val="FootnoteText"/>
        <w:spacing w:line="240" w:lineRule="auto" w:after="60"/>
        <w:ind w:left="360" w:hanging="180"/>
      </w:pPr>
      <w:r>
        <w:rPr>
          <w:sz w:val="16"/>
        </w:rPr>
        <w:footnoteRef/>
      </w:r>
      <w:r>
        <w:rPr>
          <w:sz w:val="18"/>
          <w:color w:val="404040"/>
        </w:rPr>
        <w:t xml:space="preserve"> https://ai-watch.ec.europa.eu/countries/spain/spain-ai-strategy-report_en</w:t>
      </w:r>
    </w:p>
  </w:footnote>
  <w:footnote w:id="2">
    <w:p>
      <w:pPr>
        <w:pStyle w:val="FootnoteText"/>
        <w:spacing w:line="240" w:lineRule="auto" w:after="60"/>
        <w:ind w:left="360" w:hanging="180"/>
      </w:pPr>
      <w:r>
        <w:rPr>
          <w:sz w:val="16"/>
        </w:rPr>
        <w:footnoteRef/>
      </w:r>
      <w:r>
        <w:rPr>
          <w:sz w:val="18"/>
          <w:color w:val="404040"/>
        </w:rPr>
        <w:t xml:space="preserve"> https://portal.mineco.gob.es/RecursosArticulo/mineco/ministerio/ficheros/210204_Digital_Spain_2025.pdf</w:t>
      </w:r>
    </w:p>
  </w:footnote>
  <w:footnote w:id="3">
    <w:p>
      <w:pPr>
        <w:pStyle w:val="FootnoteText"/>
        <w:spacing w:line="240" w:lineRule="auto" w:after="60"/>
        <w:ind w:left="360" w:hanging="180"/>
      </w:pPr>
      <w:r>
        <w:rPr>
          <w:sz w:val="16"/>
        </w:rPr>
        <w:footnoteRef/>
      </w:r>
      <w:r>
        <w:rPr>
          <w:sz w:val="18"/>
          <w:color w:val="404040"/>
        </w:rPr>
        <w:t xml:space="preserve"> https://digital.gob.es/en/comunicacion/notas-prensa/mtdfp/2025/05/2025-05-06_02</w:t>
      </w:r>
    </w:p>
  </w:footnote>
  <w:footnote w:id="4">
    <w:p>
      <w:pPr>
        <w:pStyle w:val="FootnoteText"/>
        <w:spacing w:line="240" w:lineRule="auto" w:after="60"/>
        <w:ind w:left="360" w:hanging="180"/>
      </w:pPr>
      <w:r>
        <w:rPr>
          <w:sz w:val="16"/>
        </w:rPr>
        <w:footnoteRef/>
      </w:r>
      <w:r>
        <w:rPr>
          <w:sz w:val="18"/>
          <w:color w:val="404040"/>
        </w:rPr>
        <w:t xml:space="preserve"> https://www.iso.org/obp/ui/en/</w:t>
      </w:r>
    </w:p>
  </w:footnote>
  <w:footnote w:id="5">
    <w:p>
      <w:pPr>
        <w:pStyle w:val="FootnoteText"/>
        <w:spacing w:line="240" w:lineRule="auto" w:after="60"/>
        <w:ind w:left="360" w:hanging="180"/>
      </w:pPr>
      <w:r>
        <w:rPr>
          <w:sz w:val="16"/>
        </w:rPr>
        <w:footnoteRef/>
      </w:r>
      <w:r>
        <w:rPr>
          <w:sz w:val="18"/>
          <w:color w:val="404040"/>
        </w:rPr>
        <w:t xml:space="preserve"> https://techjacksolutions.com/iso/42001/what-is-iso-42001-clause-9/</w:t>
      </w:r>
    </w:p>
  </w:footnote>
  <w:footnote w:id="6">
    <w:p>
      <w:pPr>
        <w:pStyle w:val="FootnoteText"/>
        <w:spacing w:line="240" w:lineRule="auto" w:after="60"/>
        <w:ind w:left="360" w:hanging="180"/>
      </w:pPr>
      <w:r>
        <w:rPr>
          <w:sz w:val="16"/>
        </w:rPr>
        <w:footnoteRef/>
      </w:r>
      <w:r>
        <w:rPr>
          <w:sz w:val="18"/>
          <w:color w:val="404040"/>
        </w:rPr>
        <w:t xml:space="preserve"> https://eiposgrados.com/eng/cybersecurity-blog/cybersecurity-incidents-in-spain-2025-incibe-report/</w:t>
      </w:r>
    </w:p>
  </w:footnote>
  <w:footnote w:id="7">
    <w:p>
      <w:pPr>
        <w:pStyle w:val="FootnoteText"/>
        <w:spacing w:line="240" w:lineRule="auto" w:after="60"/>
        <w:ind w:left="360" w:hanging="180"/>
      </w:pPr>
      <w:r>
        <w:rPr>
          <w:sz w:val="16"/>
        </w:rPr>
        <w:footnoteRef/>
      </w:r>
      <w:r>
        <w:rPr>
          <w:sz w:val="18"/>
          <w:color w:val="404040"/>
        </w:rPr>
        <w:t xml:space="preserve"> https://www.schellman.com/blog/iso-certifications/what-are-iso-42001-requirements</w:t>
      </w:r>
    </w:p>
  </w:footnote>
  <w:footnote w:id="8">
    <w:p>
      <w:pPr>
        <w:pStyle w:val="FootnoteText"/>
        <w:spacing w:line="240" w:lineRule="auto" w:after="60"/>
        <w:ind w:left="360" w:hanging="180"/>
      </w:pPr>
      <w:r>
        <w:rPr>
          <w:sz w:val="16"/>
        </w:rPr>
        <w:footnoteRef/>
      </w:r>
      <w:r>
        <w:rPr>
          <w:sz w:val="18"/>
          <w:color w:val="404040"/>
        </w:rPr>
        <w:t xml:space="preserve"> https://www.incibe.es/en</w:t>
      </w:r>
    </w:p>
  </w:footnote>
  <w:footnote w:id="9">
    <w:p>
      <w:pPr>
        <w:pStyle w:val="FootnoteText"/>
        <w:spacing w:line="240" w:lineRule="auto" w:after="60"/>
        <w:ind w:left="360" w:hanging="180"/>
      </w:pPr>
      <w:r>
        <w:rPr>
          <w:sz w:val="16"/>
        </w:rPr>
        <w:footnoteRef/>
      </w:r>
      <w:r>
        <w:rPr>
          <w:sz w:val="18"/>
          <w:color w:val="404040"/>
        </w:rPr>
        <w:t xml:space="preserve"> https://kpmg.com/ch/en/insights/artificial-intelligence/iso-iec-42001.html</w:t>
      </w:r>
    </w:p>
  </w:footnote>
  <w:footnote w:id="4">
    <w:p>
      <w:pPr>
        <w:pStyle w:val="FootnoteText"/>
        <w:spacing w:line="240" w:lineRule="auto" w:after="60"/>
        <w:ind w:left="360" w:hanging="180"/>
      </w:pPr>
      <w:r>
        <w:rPr>
          <w:sz w:val="16"/>
        </w:rPr>
        <w:footnoteRef/>
      </w:r>
      <w:r>
        <w:rPr>
          <w:sz w:val="18"/>
          <w:color w:val="404040"/>
        </w:rPr>
        <w:t xml:space="preserve"> https://www.iso.org/obp/ui/en/</w:t>
      </w:r>
    </w:p>
  </w:footnote>
  <w:footnote w:id="10">
    <w:p>
      <w:pPr>
        <w:pStyle w:val="FootnoteText"/>
        <w:spacing w:line="240" w:lineRule="auto" w:after="60"/>
        <w:ind w:left="360" w:hanging="180"/>
      </w:pPr>
      <w:r>
        <w:rPr>
          <w:sz w:val="16"/>
        </w:rPr>
        <w:footnoteRef/>
      </w:r>
      <w:r>
        <w:rPr>
          <w:sz w:val="18"/>
          <w:color w:val="404040"/>
        </w:rPr>
        <w:t xml:space="preserve"> https://www.surecloud.com/resource-hub/iso-42001-annex-a-controls</w:t>
      </w:r>
    </w:p>
  </w:footnote>
  <w:footnote w:id="5">
    <w:p>
      <w:pPr>
        <w:pStyle w:val="FootnoteText"/>
        <w:spacing w:line="240" w:lineRule="auto" w:after="60"/>
        <w:ind w:left="360" w:hanging="180"/>
      </w:pPr>
      <w:r>
        <w:rPr>
          <w:sz w:val="16"/>
        </w:rPr>
        <w:footnoteRef/>
      </w:r>
      <w:r>
        <w:rPr>
          <w:sz w:val="18"/>
          <w:color w:val="404040"/>
        </w:rPr>
        <w:t xml:space="preserve"> https://techjacksolutions.com/iso/42001/what-is-iso-42001-clause-9/</w:t>
      </w:r>
    </w:p>
  </w:footnote>
  <w:footnote w:id="7">
    <w:p>
      <w:pPr>
        <w:pStyle w:val="FootnoteText"/>
        <w:spacing w:line="240" w:lineRule="auto" w:after="60"/>
        <w:ind w:left="360" w:hanging="180"/>
      </w:pPr>
      <w:r>
        <w:rPr>
          <w:sz w:val="16"/>
        </w:rPr>
        <w:footnoteRef/>
      </w:r>
      <w:r>
        <w:rPr>
          <w:sz w:val="18"/>
          <w:color w:val="404040"/>
        </w:rPr>
        <w:t xml:space="preserve"> https://www.schellman.com/blog/iso-certifications/what-are-iso-42001-requirements</w:t>
      </w:r>
    </w:p>
  </w:footnote>
  <w:footnote w:id="5">
    <w:p>
      <w:pPr>
        <w:pStyle w:val="FootnoteText"/>
        <w:spacing w:line="240" w:lineRule="auto" w:after="60"/>
        <w:ind w:left="360" w:hanging="180"/>
      </w:pPr>
      <w:r>
        <w:rPr>
          <w:sz w:val="16"/>
        </w:rPr>
        <w:footnoteRef/>
      </w:r>
      <w:r>
        <w:rPr>
          <w:sz w:val="18"/>
          <w:color w:val="404040"/>
        </w:rPr>
        <w:t xml:space="preserve"> https://techjacksolutions.com/iso/42001/what-is-iso-42001-clause-9/</w:t>
      </w:r>
    </w:p>
  </w:footnote>
  <w:footnote w:id="11">
    <w:p>
      <w:pPr>
        <w:pStyle w:val="FootnoteText"/>
        <w:spacing w:line="240" w:lineRule="auto" w:after="60"/>
        <w:ind w:left="360" w:hanging="180"/>
      </w:pPr>
      <w:r>
        <w:rPr>
          <w:sz w:val="16"/>
        </w:rPr>
        <w:footnoteRef/>
      </w:r>
      <w:r>
        <w:rPr>
          <w:sz w:val="18"/>
          <w:color w:val="404040"/>
        </w:rPr>
        <w:t xml:space="preserve"> https://www.linkedin.com/posts/tech-jacks-solutions_what-is-iso-42001-clause-9-performance-evaluation-activity-7426488503783395328-1e9U</w:t>
      </w:r>
    </w:p>
  </w:footnote>
  <w:footnote w:id="7">
    <w:p>
      <w:pPr>
        <w:pStyle w:val="FootnoteText"/>
        <w:spacing w:line="240" w:lineRule="auto" w:after="60"/>
        <w:ind w:left="360" w:hanging="180"/>
      </w:pPr>
      <w:r>
        <w:rPr>
          <w:sz w:val="16"/>
        </w:rPr>
        <w:footnoteRef/>
      </w:r>
      <w:r>
        <w:rPr>
          <w:sz w:val="18"/>
          <w:color w:val="404040"/>
        </w:rPr>
        <w:t xml:space="preserve"> https://www.schellman.com/blog/iso-certifications/what-are-iso-42001-requirements</w:t>
      </w:r>
    </w:p>
  </w:footnote>
  <w:footnote w:id="12">
    <w:p>
      <w:pPr>
        <w:pStyle w:val="FootnoteText"/>
        <w:spacing w:line="240" w:lineRule="auto" w:after="60"/>
        <w:ind w:left="360" w:hanging="180"/>
      </w:pPr>
      <w:r>
        <w:rPr>
          <w:sz w:val="16"/>
        </w:rPr>
        <w:footnoteRef/>
      </w:r>
      <w:r>
        <w:rPr>
          <w:sz w:val="18"/>
          <w:color w:val="404040"/>
        </w:rPr>
        <w:t xml:space="preserve"> https://www.linkedin.com/learning/iso-iec-42001-2023-understanding-and-implementing-the-artificial-intelligence-management-system-aims-standard/ai-monitoring-management-and-analysis-evaluation-clause-9-1</w:t>
      </w:r>
    </w:p>
  </w:footnote>
  <w:footnote w:id="13">
    <w:p>
      <w:pPr>
        <w:pStyle w:val="FootnoteText"/>
        <w:spacing w:line="240" w:lineRule="auto" w:after="60"/>
        <w:ind w:left="360" w:hanging="180"/>
      </w:pPr>
      <w:r>
        <w:rPr>
          <w:sz w:val="16"/>
        </w:rPr>
        <w:footnoteRef/>
      </w:r>
      <w:r>
        <w:rPr>
          <w:sz w:val="18"/>
          <w:color w:val="404040"/>
        </w:rPr>
        <w:t xml:space="preserve"> https://secureprivacy.ai/blog/iso-42001-implementation-guide-2026</w:t>
      </w:r>
    </w:p>
  </w:footnote>
  <w:footnote w:id="14">
    <w:p>
      <w:pPr>
        <w:pStyle w:val="FootnoteText"/>
        <w:spacing w:line="240" w:lineRule="auto" w:after="60"/>
        <w:ind w:left="360" w:hanging="180"/>
      </w:pPr>
      <w:r>
        <w:rPr>
          <w:sz w:val="16"/>
        </w:rPr>
        <w:footnoteRef/>
      </w:r>
      <w:r>
        <w:rPr>
          <w:sz w:val="18"/>
          <w:color w:val="404040"/>
        </w:rPr>
        <w:t xml:space="preserve"> https://www.aigl.blog/iso-42001-checklist-of-implementation-steps/</w:t>
      </w:r>
    </w:p>
  </w:footnote>
  <w:footnote w:id="11">
    <w:p>
      <w:pPr>
        <w:pStyle w:val="FootnoteText"/>
        <w:spacing w:line="240" w:lineRule="auto" w:after="60"/>
        <w:ind w:left="360" w:hanging="180"/>
      </w:pPr>
      <w:r>
        <w:rPr>
          <w:sz w:val="16"/>
        </w:rPr>
        <w:footnoteRef/>
      </w:r>
      <w:r>
        <w:rPr>
          <w:sz w:val="18"/>
          <w:color w:val="404040"/>
        </w:rPr>
        <w:t xml:space="preserve"> https://www.linkedin.com/posts/tech-jacks-solutions_what-is-iso-42001-clause-9-performance-evaluation-activity-7426488503783395328-1e9U</w:t>
      </w:r>
    </w:p>
  </w:footnote>
  <w:footnote w:id="7">
    <w:p>
      <w:pPr>
        <w:pStyle w:val="FootnoteText"/>
        <w:spacing w:line="240" w:lineRule="auto" w:after="60"/>
        <w:ind w:left="360" w:hanging="180"/>
      </w:pPr>
      <w:r>
        <w:rPr>
          <w:sz w:val="16"/>
        </w:rPr>
        <w:footnoteRef/>
      </w:r>
      <w:r>
        <w:rPr>
          <w:sz w:val="18"/>
          <w:color w:val="404040"/>
        </w:rPr>
        <w:t xml:space="preserve"> https://www.schellman.com/blog/iso-certifications/what-are-iso-42001-requirements</w:t>
      </w:r>
    </w:p>
  </w:footnote>
  <w:footnote w:id="12">
    <w:p>
      <w:pPr>
        <w:pStyle w:val="FootnoteText"/>
        <w:spacing w:line="240" w:lineRule="auto" w:after="60"/>
        <w:ind w:left="360" w:hanging="180"/>
      </w:pPr>
      <w:r>
        <w:rPr>
          <w:sz w:val="16"/>
        </w:rPr>
        <w:footnoteRef/>
      </w:r>
      <w:r>
        <w:rPr>
          <w:sz w:val="18"/>
          <w:color w:val="404040"/>
        </w:rPr>
        <w:t xml:space="preserve"> https://www.linkedin.com/learning/iso-iec-42001-2023-understanding-and-implementing-the-artificial-intelligence-management-system-aims-standard/ai-monitoring-management-and-analysis-evaluation-clause-9-1</w:t>
      </w:r>
    </w:p>
  </w:footnote>
  <w:footnote w:id="5">
    <w:p>
      <w:pPr>
        <w:pStyle w:val="FootnoteText"/>
        <w:spacing w:line="240" w:lineRule="auto" w:after="60"/>
        <w:ind w:left="360" w:hanging="180"/>
      </w:pPr>
      <w:r>
        <w:rPr>
          <w:sz w:val="16"/>
        </w:rPr>
        <w:footnoteRef/>
      </w:r>
      <w:r>
        <w:rPr>
          <w:sz w:val="18"/>
          <w:color w:val="404040"/>
        </w:rPr>
        <w:t xml:space="preserve"> https://techjacksolutions.com/iso/42001/what-is-iso-42001-clause-9/</w:t>
      </w:r>
    </w:p>
  </w:footnote>
  <w:footnote w:id="15">
    <w:p>
      <w:pPr>
        <w:pStyle w:val="FootnoteText"/>
        <w:spacing w:line="240" w:lineRule="auto" w:after="60"/>
        <w:ind w:left="360" w:hanging="180"/>
      </w:pPr>
      <w:r>
        <w:rPr>
          <w:sz w:val="16"/>
        </w:rPr>
        <w:footnoteRef/>
      </w:r>
      <w:r>
        <w:rPr>
          <w:sz w:val="18"/>
          <w:color w:val="404040"/>
        </w:rPr>
        <w:t xml:space="preserve"> https://cloudsecurityalliance.org/blog/2025/05/08/iso-42001-lessons-learned-from-auditing-and-implementing-the-framework</w:t>
      </w:r>
    </w:p>
  </w:footnote>
  <w:footnote w:id="16">
    <w:p>
      <w:pPr>
        <w:pStyle w:val="FootnoteText"/>
        <w:spacing w:line="240" w:lineRule="auto" w:after="60"/>
        <w:ind w:left="360" w:hanging="180"/>
      </w:pPr>
      <w:r>
        <w:rPr>
          <w:sz w:val="16"/>
        </w:rPr>
        <w:footnoteRef/>
      </w:r>
      <w:r>
        <w:rPr>
          <w:sz w:val="18"/>
          <w:color w:val="404040"/>
        </w:rPr>
        <w:t xml:space="preserve"> https://www.enz.ai/blog/iso-42001-practical-implementation-guide</w:t>
      </w:r>
    </w:p>
  </w:footnote>
  <w:footnote w:id="17">
    <w:p>
      <w:pPr>
        <w:pStyle w:val="FootnoteText"/>
        <w:spacing w:line="240" w:lineRule="auto" w:after="60"/>
        <w:ind w:left="360" w:hanging="180"/>
      </w:pPr>
      <w:r>
        <w:rPr>
          <w:sz w:val="16"/>
        </w:rPr>
        <w:footnoteRef/>
      </w:r>
      <w:r>
        <w:rPr>
          <w:sz w:val="18"/>
          <w:color w:val="404040"/>
        </w:rPr>
        <w:t xml:space="preserve"> https://www.isms.online/iso-42001/</w:t>
      </w:r>
    </w:p>
  </w:footnote>
  <w:footnote w:id="18">
    <w:p>
      <w:pPr>
        <w:pStyle w:val="FootnoteText"/>
        <w:spacing w:line="240" w:lineRule="auto" w:after="60"/>
        <w:ind w:left="360" w:hanging="180"/>
      </w:pPr>
      <w:r>
        <w:rPr>
          <w:sz w:val="16"/>
        </w:rPr>
        <w:footnoteRef/>
      </w:r>
      <w:r>
        <w:rPr>
          <w:sz w:val="18"/>
          <w:color w:val="404040"/>
        </w:rPr>
        <w:t xml:space="preserve"> https://www.scrut.io/post/ultimate-guide-to-iso-42001-2023</w:t>
      </w:r>
    </w:p>
  </w:footnote>
  <w:footnote w:id="19">
    <w:p>
      <w:pPr>
        <w:pStyle w:val="FootnoteText"/>
        <w:spacing w:line="240" w:lineRule="auto" w:after="60"/>
        <w:ind w:left="360" w:hanging="180"/>
      </w:pPr>
      <w:r>
        <w:rPr>
          <w:sz w:val="16"/>
        </w:rPr>
        <w:footnoteRef/>
      </w:r>
      <w:r>
        <w:rPr>
          <w:sz w:val="18"/>
          <w:color w:val="404040"/>
        </w:rPr>
        <w:t xml:space="preserve"> https://www.isms.online/iso-42001/annex-a-controls/</w:t>
      </w:r>
    </w:p>
  </w:footnote>
  <w:footnote w:id="4">
    <w:p>
      <w:pPr>
        <w:pStyle w:val="FootnoteText"/>
        <w:spacing w:line="240" w:lineRule="auto" w:after="60"/>
        <w:ind w:left="360" w:hanging="180"/>
      </w:pPr>
      <w:r>
        <w:rPr>
          <w:sz w:val="16"/>
        </w:rPr>
        <w:footnoteRef/>
      </w:r>
      <w:r>
        <w:rPr>
          <w:sz w:val="18"/>
          <w:color w:val="404040"/>
        </w:rPr>
        <w:t xml:space="preserve"> https://www.iso.org/obp/ui/en/</w:t>
      </w:r>
    </w:p>
  </w:footnote>
  <w:footnote w:id="10">
    <w:p>
      <w:pPr>
        <w:pStyle w:val="FootnoteText"/>
        <w:spacing w:line="240" w:lineRule="auto" w:after="60"/>
        <w:ind w:left="360" w:hanging="180"/>
      </w:pPr>
      <w:r>
        <w:rPr>
          <w:sz w:val="16"/>
        </w:rPr>
        <w:footnoteRef/>
      </w:r>
      <w:r>
        <w:rPr>
          <w:sz w:val="18"/>
          <w:color w:val="404040"/>
        </w:rPr>
        <w:t xml:space="preserve"> https://www.surecloud.com/resource-hub/iso-42001-annex-a-controls</w:t>
      </w:r>
    </w:p>
  </w:footnote>
  <w:footnote w:id="14">
    <w:p>
      <w:pPr>
        <w:pStyle w:val="FootnoteText"/>
        <w:spacing w:line="240" w:lineRule="auto" w:after="60"/>
        <w:ind w:left="360" w:hanging="180"/>
      </w:pPr>
      <w:r>
        <w:rPr>
          <w:sz w:val="16"/>
        </w:rPr>
        <w:footnoteRef/>
      </w:r>
      <w:r>
        <w:rPr>
          <w:sz w:val="18"/>
          <w:color w:val="404040"/>
        </w:rPr>
        <w:t xml:space="preserve"> https://www.aigl.blog/iso-42001-checklist-of-implementation-steps/</w:t>
      </w:r>
    </w:p>
  </w:footnote>
  <w:footnote w:id="7">
    <w:p>
      <w:pPr>
        <w:pStyle w:val="FootnoteText"/>
        <w:spacing w:line="240" w:lineRule="auto" w:after="60"/>
        <w:ind w:left="360" w:hanging="180"/>
      </w:pPr>
      <w:r>
        <w:rPr>
          <w:sz w:val="16"/>
        </w:rPr>
        <w:footnoteRef/>
      </w:r>
      <w:r>
        <w:rPr>
          <w:sz w:val="18"/>
          <w:color w:val="404040"/>
        </w:rPr>
        <w:t xml:space="preserve"> https://www.schellman.com/blog/iso-certifications/what-are-iso-42001-requirements</w:t>
      </w:r>
    </w:p>
  </w:footnote>
  <w:footnote w:id="20">
    <w:p>
      <w:pPr>
        <w:pStyle w:val="FootnoteText"/>
        <w:spacing w:line="240" w:lineRule="auto" w:after="60"/>
        <w:ind w:left="360" w:hanging="180"/>
      </w:pPr>
      <w:r>
        <w:rPr>
          <w:sz w:val="16"/>
        </w:rPr>
        <w:footnoteRef/>
      </w:r>
      <w:r>
        <w:rPr>
          <w:sz w:val="18"/>
          <w:color w:val="404040"/>
        </w:rPr>
        <w:t xml:space="preserve"> https://www.gsc-co.com/wp-content/uploads/2024/08/SCAN-ISO-420012023_-Web.pdf</w:t>
      </w:r>
    </w:p>
  </w:footnote>
  <w:footnote w:id="13">
    <w:p>
      <w:pPr>
        <w:pStyle w:val="FootnoteText"/>
        <w:spacing w:line="240" w:lineRule="auto" w:after="60"/>
        <w:ind w:left="360" w:hanging="180"/>
      </w:pPr>
      <w:r>
        <w:rPr>
          <w:sz w:val="16"/>
        </w:rPr>
        <w:footnoteRef/>
      </w:r>
      <w:r>
        <w:rPr>
          <w:sz w:val="18"/>
          <w:color w:val="404040"/>
        </w:rPr>
        <w:t xml:space="preserve"> https://secureprivacy.ai/blog/iso-42001-implementation-guide-2026</w:t>
      </w:r>
    </w:p>
  </w:footnote>
  <w:footnote w:id="5">
    <w:p>
      <w:pPr>
        <w:pStyle w:val="FootnoteText"/>
        <w:spacing w:line="240" w:lineRule="auto" w:after="60"/>
        <w:ind w:left="360" w:hanging="180"/>
      </w:pPr>
      <w:r>
        <w:rPr>
          <w:sz w:val="16"/>
        </w:rPr>
        <w:footnoteRef/>
      </w:r>
      <w:r>
        <w:rPr>
          <w:sz w:val="18"/>
          <w:color w:val="404040"/>
        </w:rPr>
        <w:t xml:space="preserve"> https://techjacksolutions.com/iso/42001/what-is-iso-42001-clause-9/</w:t>
      </w:r>
    </w:p>
  </w:footnote>
  <w:footnote w:id="16">
    <w:p>
      <w:pPr>
        <w:pStyle w:val="FootnoteText"/>
        <w:spacing w:line="240" w:lineRule="auto" w:after="60"/>
        <w:ind w:left="360" w:hanging="180"/>
      </w:pPr>
      <w:r>
        <w:rPr>
          <w:sz w:val="16"/>
        </w:rPr>
        <w:footnoteRef/>
      </w:r>
      <w:r>
        <w:rPr>
          <w:sz w:val="18"/>
          <w:color w:val="404040"/>
        </w:rPr>
        <w:t xml:space="preserve"> https://www.enz.ai/blog/iso-42001-practical-implementation-guide</w:t>
      </w:r>
    </w:p>
  </w:footnote>
  <w:footnote w:id="19">
    <w:p>
      <w:pPr>
        <w:pStyle w:val="FootnoteText"/>
        <w:spacing w:line="240" w:lineRule="auto" w:after="60"/>
        <w:ind w:left="360" w:hanging="180"/>
      </w:pPr>
      <w:r>
        <w:rPr>
          <w:sz w:val="16"/>
        </w:rPr>
        <w:footnoteRef/>
      </w:r>
      <w:r>
        <w:rPr>
          <w:sz w:val="18"/>
          <w:color w:val="404040"/>
        </w:rPr>
        <w:t xml:space="preserve"> https://www.isms.online/iso-42001/annex-a-controls/</w:t>
      </w:r>
    </w:p>
  </w:footnote>
  <w:footnote w:id="10">
    <w:p>
      <w:pPr>
        <w:pStyle w:val="FootnoteText"/>
        <w:spacing w:line="240" w:lineRule="auto" w:after="60"/>
        <w:ind w:left="360" w:hanging="180"/>
      </w:pPr>
      <w:r>
        <w:rPr>
          <w:sz w:val="16"/>
        </w:rPr>
        <w:footnoteRef/>
      </w:r>
      <w:r>
        <w:rPr>
          <w:sz w:val="18"/>
          <w:color w:val="404040"/>
        </w:rPr>
        <w:t xml:space="preserve"> https://www.surecloud.com/resource-hub/iso-42001-annex-a-controls</w:t>
      </w:r>
    </w:p>
  </w:footnote>
  <w:footnote w:id="14">
    <w:p>
      <w:pPr>
        <w:pStyle w:val="FootnoteText"/>
        <w:spacing w:line="240" w:lineRule="auto" w:after="60"/>
        <w:ind w:left="360" w:hanging="180"/>
      </w:pPr>
      <w:r>
        <w:rPr>
          <w:sz w:val="16"/>
        </w:rPr>
        <w:footnoteRef/>
      </w:r>
      <w:r>
        <w:rPr>
          <w:sz w:val="18"/>
          <w:color w:val="404040"/>
        </w:rPr>
        <w:t xml:space="preserve"> https://www.aigl.blog/iso-42001-checklist-of-implementation-steps/</w:t>
      </w:r>
    </w:p>
  </w:footnote>
  <w:footnote w:id="7">
    <w:p>
      <w:pPr>
        <w:pStyle w:val="FootnoteText"/>
        <w:spacing w:line="240" w:lineRule="auto" w:after="60"/>
        <w:ind w:left="360" w:hanging="180"/>
      </w:pPr>
      <w:r>
        <w:rPr>
          <w:sz w:val="16"/>
        </w:rPr>
        <w:footnoteRef/>
      </w:r>
      <w:r>
        <w:rPr>
          <w:sz w:val="18"/>
          <w:color w:val="404040"/>
        </w:rPr>
        <w:t xml:space="preserve"> https://www.schellman.com/blog/iso-certifications/what-are-iso-42001-requirements</w:t>
      </w:r>
    </w:p>
  </w:footnote>
  <w:footnote w:id="15">
    <w:p>
      <w:pPr>
        <w:pStyle w:val="FootnoteText"/>
        <w:spacing w:line="240" w:lineRule="auto" w:after="60"/>
        <w:ind w:left="360" w:hanging="180"/>
      </w:pPr>
      <w:r>
        <w:rPr>
          <w:sz w:val="16"/>
        </w:rPr>
        <w:footnoteRef/>
      </w:r>
      <w:r>
        <w:rPr>
          <w:sz w:val="18"/>
          <w:color w:val="404040"/>
        </w:rPr>
        <w:t xml:space="preserve"> https://cloudsecurityalliance.org/blog/2025/05/08/iso-42001-lessons-learned-from-auditing-and-implementing-the-framework</w:t>
      </w:r>
    </w:p>
  </w:footnote>
  <w:footnote w:id="13">
    <w:p>
      <w:pPr>
        <w:pStyle w:val="FootnoteText"/>
        <w:spacing w:line="240" w:lineRule="auto" w:after="60"/>
        <w:ind w:left="360" w:hanging="180"/>
      </w:pPr>
      <w:r>
        <w:rPr>
          <w:sz w:val="16"/>
        </w:rPr>
        <w:footnoteRef/>
      </w:r>
      <w:r>
        <w:rPr>
          <w:sz w:val="18"/>
          <w:color w:val="404040"/>
        </w:rPr>
        <w:t xml:space="preserve"> https://secureprivacy.ai/blog/iso-42001-implementation-guide-2026</w:t>
      </w:r>
    </w:p>
  </w:footnote>
  <w:footnote w:id="18">
    <w:p>
      <w:pPr>
        <w:pStyle w:val="FootnoteText"/>
        <w:spacing w:line="240" w:lineRule="auto" w:after="60"/>
        <w:ind w:left="360" w:hanging="180"/>
      </w:pPr>
      <w:r>
        <w:rPr>
          <w:sz w:val="16"/>
        </w:rPr>
        <w:footnoteRef/>
      </w:r>
      <w:r>
        <w:rPr>
          <w:sz w:val="18"/>
          <w:color w:val="404040"/>
        </w:rPr>
        <w:t xml:space="preserve"> https://www.scrut.io/post/ultimate-guide-to-iso-42001-2023</w:t>
      </w:r>
    </w:p>
  </w:footnote>
  <w:footnote w:id="14">
    <w:p>
      <w:pPr>
        <w:pStyle w:val="FootnoteText"/>
        <w:spacing w:line="240" w:lineRule="auto" w:after="60"/>
        <w:ind w:left="360" w:hanging="180"/>
      </w:pPr>
      <w:r>
        <w:rPr>
          <w:sz w:val="16"/>
        </w:rPr>
        <w:footnoteRef/>
      </w:r>
      <w:r>
        <w:rPr>
          <w:sz w:val="18"/>
          <w:color w:val="404040"/>
        </w:rPr>
        <w:t xml:space="preserve"> https://www.aigl.blog/iso-42001-checklist-of-implementation-steps/</w:t>
      </w:r>
    </w:p>
  </w:footnote>
  <w:footnote w:id="15">
    <w:p>
      <w:pPr>
        <w:pStyle w:val="FootnoteText"/>
        <w:spacing w:line="240" w:lineRule="auto" w:after="60"/>
        <w:ind w:left="360" w:hanging="180"/>
      </w:pPr>
      <w:r>
        <w:rPr>
          <w:sz w:val="16"/>
        </w:rPr>
        <w:footnoteRef/>
      </w:r>
      <w:r>
        <w:rPr>
          <w:sz w:val="18"/>
          <w:color w:val="404040"/>
        </w:rPr>
        <w:t xml:space="preserve"> https://cloudsecurityalliance.org/blog/2025/05/08/iso-42001-lessons-learned-from-auditing-and-implementing-the-framework</w:t>
      </w:r>
    </w:p>
  </w:footnote>
  <w:footnote w:id="16">
    <w:p>
      <w:pPr>
        <w:pStyle w:val="FootnoteText"/>
        <w:spacing w:line="240" w:lineRule="auto" w:after="60"/>
        <w:ind w:left="360" w:hanging="180"/>
      </w:pPr>
      <w:r>
        <w:rPr>
          <w:sz w:val="16"/>
        </w:rPr>
        <w:footnoteRef/>
      </w:r>
      <w:r>
        <w:rPr>
          <w:sz w:val="18"/>
          <w:color w:val="404040"/>
        </w:rPr>
        <w:t xml:space="preserve"> https://www.enz.ai/blog/iso-42001-practical-implementation-guide</w:t>
      </w:r>
    </w:p>
  </w:footnote>
  <w:footnote w:id="17">
    <w:p>
      <w:pPr>
        <w:pStyle w:val="FootnoteText"/>
        <w:spacing w:line="240" w:lineRule="auto" w:after="60"/>
        <w:ind w:left="360" w:hanging="180"/>
      </w:pPr>
      <w:r>
        <w:rPr>
          <w:sz w:val="16"/>
        </w:rPr>
        <w:footnoteRef/>
      </w:r>
      <w:r>
        <w:rPr>
          <w:sz w:val="18"/>
          <w:color w:val="404040"/>
        </w:rPr>
        <w:t xml:space="preserve"> https://www.isms.online/iso-42001/</w:t>
      </w:r>
    </w:p>
  </w:footnote>
  <w:footnote w:id="13">
    <w:p>
      <w:pPr>
        <w:pStyle w:val="FootnoteText"/>
        <w:spacing w:line="240" w:lineRule="auto" w:after="60"/>
        <w:ind w:left="360" w:hanging="180"/>
      </w:pPr>
      <w:r>
        <w:rPr>
          <w:sz w:val="16"/>
        </w:rPr>
        <w:footnoteRef/>
      </w:r>
      <w:r>
        <w:rPr>
          <w:sz w:val="18"/>
          <w:color w:val="404040"/>
        </w:rPr>
        <w:t xml:space="preserve"> https://secureprivacy.ai/blog/iso-42001-implementation-guide-2026</w:t>
      </w:r>
    </w:p>
  </w:footnote>
  <w:footnote w:id="19">
    <w:p>
      <w:pPr>
        <w:pStyle w:val="FootnoteText"/>
        <w:spacing w:line="240" w:lineRule="auto" w:after="60"/>
        <w:ind w:left="360" w:hanging="180"/>
      </w:pPr>
      <w:r>
        <w:rPr>
          <w:sz w:val="16"/>
        </w:rPr>
        <w:footnoteRef/>
      </w:r>
      <w:r>
        <w:rPr>
          <w:sz w:val="18"/>
          <w:color w:val="404040"/>
        </w:rPr>
        <w:t xml:space="preserve"> https://www.isms.online/iso-42001/annex-a-controls/</w:t>
      </w:r>
    </w:p>
  </w:footnote>
  <w:footnote w:id="10">
    <w:p>
      <w:pPr>
        <w:pStyle w:val="FootnoteText"/>
        <w:spacing w:line="240" w:lineRule="auto" w:after="60"/>
        <w:ind w:left="360" w:hanging="180"/>
      </w:pPr>
      <w:r>
        <w:rPr>
          <w:sz w:val="16"/>
        </w:rPr>
        <w:footnoteRef/>
      </w:r>
      <w:r>
        <w:rPr>
          <w:sz w:val="18"/>
          <w:color w:val="404040"/>
        </w:rPr>
        <w:t xml:space="preserve"> https://www.surecloud.com/resource-hub/iso-42001-annex-a-controls</w:t>
      </w:r>
    </w:p>
  </w:footnote>
  <w:footnote w:id="5">
    <w:p>
      <w:pPr>
        <w:pStyle w:val="FootnoteText"/>
        <w:spacing w:line="240" w:lineRule="auto" w:after="60"/>
        <w:ind w:left="360" w:hanging="180"/>
      </w:pPr>
      <w:r>
        <w:rPr>
          <w:sz w:val="16"/>
        </w:rPr>
        <w:footnoteRef/>
      </w:r>
      <w:r>
        <w:rPr>
          <w:sz w:val="18"/>
          <w:color w:val="404040"/>
        </w:rPr>
        <w:t xml:space="preserve"> https://techjacksolutions.com/iso/42001/what-is-iso-42001-clause-9/</w:t>
      </w:r>
    </w:p>
  </w:footnote>
  <w:footnote w:id="14">
    <w:p>
      <w:pPr>
        <w:pStyle w:val="FootnoteText"/>
        <w:spacing w:line="240" w:lineRule="auto" w:after="60"/>
        <w:ind w:left="360" w:hanging="180"/>
      </w:pPr>
      <w:r>
        <w:rPr>
          <w:sz w:val="16"/>
        </w:rPr>
        <w:footnoteRef/>
      </w:r>
      <w:r>
        <w:rPr>
          <w:sz w:val="18"/>
          <w:color w:val="404040"/>
        </w:rPr>
        <w:t xml:space="preserve"> https://www.aigl.blog/iso-42001-checklist-of-implementation-steps/</w:t>
      </w:r>
    </w:p>
  </w:footnote>
  <w:footnote w:id="13">
    <w:p>
      <w:pPr>
        <w:pStyle w:val="FootnoteText"/>
        <w:spacing w:line="240" w:lineRule="auto" w:after="60"/>
        <w:ind w:left="360" w:hanging="180"/>
      </w:pPr>
      <w:r>
        <w:rPr>
          <w:sz w:val="16"/>
        </w:rPr>
        <w:footnoteRef/>
      </w:r>
      <w:r>
        <w:rPr>
          <w:sz w:val="18"/>
          <w:color w:val="404040"/>
        </w:rPr>
        <w:t xml:space="preserve"> https://secureprivacy.ai/blog/iso-42001-implementation-guide-2026</w:t>
      </w:r>
    </w:p>
  </w:footnote>
  <w:footnote w:id="10">
    <w:p>
      <w:pPr>
        <w:pStyle w:val="FootnoteText"/>
        <w:spacing w:line="240" w:lineRule="auto" w:after="60"/>
        <w:ind w:left="360" w:hanging="180"/>
      </w:pPr>
      <w:r>
        <w:rPr>
          <w:sz w:val="16"/>
        </w:rPr>
        <w:footnoteRef/>
      </w:r>
      <w:r>
        <w:rPr>
          <w:sz w:val="18"/>
          <w:color w:val="404040"/>
        </w:rPr>
        <w:t xml:space="preserve"> https://www.surecloud.com/resource-hub/iso-42001-annex-a-controls</w:t>
      </w:r>
    </w:p>
  </w:footnote>
  <w:footnote w:id="5">
    <w:p>
      <w:pPr>
        <w:pStyle w:val="FootnoteText"/>
        <w:spacing w:line="240" w:lineRule="auto" w:after="60"/>
        <w:ind w:left="360" w:hanging="180"/>
      </w:pPr>
      <w:r>
        <w:rPr>
          <w:sz w:val="16"/>
        </w:rPr>
        <w:footnoteRef/>
      </w:r>
      <w:r>
        <w:rPr>
          <w:sz w:val="18"/>
          <w:color w:val="404040"/>
        </w:rPr>
        <w:t xml:space="preserve"> https://techjacksolutions.com/iso/42001/what-is-iso-42001-clause-9/</w:t>
      </w:r>
    </w:p>
  </w:footnote>
  <w:footnote w:id="7">
    <w:p>
      <w:pPr>
        <w:pStyle w:val="FootnoteText"/>
        <w:spacing w:line="240" w:lineRule="auto" w:after="60"/>
        <w:ind w:left="360" w:hanging="180"/>
      </w:pPr>
      <w:r>
        <w:rPr>
          <w:sz w:val="16"/>
        </w:rPr>
        <w:footnoteRef/>
      </w:r>
      <w:r>
        <w:rPr>
          <w:sz w:val="18"/>
          <w:color w:val="404040"/>
        </w:rPr>
        <w:t xml:space="preserve"> https://www.schellman.com/blog/iso-certifications/what-are-iso-42001-requirements</w:t>
      </w:r>
    </w:p>
  </w:footnote>
  <w:footnote w:id="15">
    <w:p>
      <w:pPr>
        <w:pStyle w:val="FootnoteText"/>
        <w:spacing w:line="240" w:lineRule="auto" w:after="60"/>
        <w:ind w:left="360" w:hanging="180"/>
      </w:pPr>
      <w:r>
        <w:rPr>
          <w:sz w:val="16"/>
        </w:rPr>
        <w:footnoteRef/>
      </w:r>
      <w:r>
        <w:rPr>
          <w:sz w:val="18"/>
          <w:color w:val="404040"/>
        </w:rPr>
        <w:t xml:space="preserve"> https://cloudsecurityalliance.org/blog/2025/05/08/iso-42001-lessons-learned-from-auditing-and-implementing-the-framework</w:t>
      </w:r>
    </w:p>
  </w:footnote>
  <w:footnote w:id="16">
    <w:p>
      <w:pPr>
        <w:pStyle w:val="FootnoteText"/>
        <w:spacing w:line="240" w:lineRule="auto" w:after="60"/>
        <w:ind w:left="360" w:hanging="180"/>
      </w:pPr>
      <w:r>
        <w:rPr>
          <w:sz w:val="16"/>
        </w:rPr>
        <w:footnoteRef/>
      </w:r>
      <w:r>
        <w:rPr>
          <w:sz w:val="18"/>
          <w:color w:val="404040"/>
        </w:rPr>
        <w:t xml:space="preserve"> https://www.enz.ai/blog/iso-42001-practical-implementation-guide</w:t>
      </w:r>
    </w:p>
  </w:footnote>
  <w:footnote w:id="11">
    <w:p>
      <w:pPr>
        <w:pStyle w:val="FootnoteText"/>
        <w:spacing w:line="240" w:lineRule="auto" w:after="60"/>
        <w:ind w:left="360" w:hanging="180"/>
      </w:pPr>
      <w:r>
        <w:rPr>
          <w:sz w:val="16"/>
        </w:rPr>
        <w:footnoteRef/>
      </w:r>
      <w:r>
        <w:rPr>
          <w:sz w:val="18"/>
          <w:color w:val="404040"/>
        </w:rPr>
        <w:t xml:space="preserve"> https://www.linkedin.com/posts/tech-jacks-solutions_what-is-iso-42001-clause-9-performance-evaluation-activity-7426488503783395328-1e9U</w:t>
      </w:r>
    </w:p>
  </w:footnote>
  <w:footnote w:id="19">
    <w:p>
      <w:pPr>
        <w:pStyle w:val="FootnoteText"/>
        <w:spacing w:line="240" w:lineRule="auto" w:after="60"/>
        <w:ind w:left="360" w:hanging="180"/>
      </w:pPr>
      <w:r>
        <w:rPr>
          <w:sz w:val="16"/>
        </w:rPr>
        <w:footnoteRef/>
      </w:r>
      <w:r>
        <w:rPr>
          <w:sz w:val="18"/>
          <w:color w:val="404040"/>
        </w:rPr>
        <w:t xml:space="preserve"> https://www.isms.online/iso-42001/annex-a-controls/</w:t>
      </w:r>
    </w:p>
  </w:footnote>
  <w:footnote w:id="14">
    <w:p>
      <w:pPr>
        <w:pStyle w:val="FootnoteText"/>
        <w:spacing w:line="240" w:lineRule="auto" w:after="60"/>
        <w:ind w:left="360" w:hanging="180"/>
      </w:pPr>
      <w:r>
        <w:rPr>
          <w:sz w:val="16"/>
        </w:rPr>
        <w:footnoteRef/>
      </w:r>
      <w:r>
        <w:rPr>
          <w:sz w:val="18"/>
          <w:color w:val="404040"/>
        </w:rPr>
        <w:t xml:space="preserve"> https://www.aigl.blog/iso-42001-checklist-of-implementation-steps/</w:t>
      </w:r>
    </w:p>
  </w:footnote>
  <w:footnote w:id="7">
    <w:p>
      <w:pPr>
        <w:pStyle w:val="FootnoteText"/>
        <w:spacing w:line="240" w:lineRule="auto" w:after="60"/>
        <w:ind w:left="360" w:hanging="180"/>
      </w:pPr>
      <w:r>
        <w:rPr>
          <w:sz w:val="16"/>
        </w:rPr>
        <w:footnoteRef/>
      </w:r>
      <w:r>
        <w:rPr>
          <w:sz w:val="18"/>
          <w:color w:val="404040"/>
        </w:rPr>
        <w:t xml:space="preserve"> https://www.schellman.com/blog/iso-certifications/what-are-iso-42001-requirements</w:t>
      </w:r>
    </w:p>
  </w:footnote>
  <w:footnote w:id="10">
    <w:p>
      <w:pPr>
        <w:pStyle w:val="FootnoteText"/>
        <w:spacing w:line="240" w:lineRule="auto" w:after="60"/>
        <w:ind w:left="360" w:hanging="180"/>
      </w:pPr>
      <w:r>
        <w:rPr>
          <w:sz w:val="16"/>
        </w:rPr>
        <w:footnoteRef/>
      </w:r>
      <w:r>
        <w:rPr>
          <w:sz w:val="18"/>
          <w:color w:val="404040"/>
        </w:rPr>
        <w:t xml:space="preserve"> https://www.surecloud.com/resource-hub/iso-42001-annex-a-controls</w:t>
      </w:r>
    </w:p>
  </w:footnote>
  <w:footnote w:id="5">
    <w:p>
      <w:pPr>
        <w:pStyle w:val="FootnoteText"/>
        <w:spacing w:line="240" w:lineRule="auto" w:after="60"/>
        <w:ind w:left="360" w:hanging="180"/>
      </w:pPr>
      <w:r>
        <w:rPr>
          <w:sz w:val="16"/>
        </w:rPr>
        <w:footnoteRef/>
      </w:r>
      <w:r>
        <w:rPr>
          <w:sz w:val="18"/>
          <w:color w:val="404040"/>
        </w:rPr>
        <w:t xml:space="preserve"> https://techjacksolutions.com/iso/42001/what-is-iso-42001-clause-9/</w:t>
      </w:r>
    </w:p>
  </w:footnote>
  <w:footnote w:id="4">
    <w:p>
      <w:pPr>
        <w:pStyle w:val="FootnoteText"/>
        <w:spacing w:line="240" w:lineRule="auto" w:after="60"/>
        <w:ind w:left="360" w:hanging="180"/>
      </w:pPr>
      <w:r>
        <w:rPr>
          <w:sz w:val="16"/>
        </w:rPr>
        <w:footnoteRef/>
      </w:r>
      <w:r>
        <w:rPr>
          <w:sz w:val="18"/>
          <w:color w:val="404040"/>
        </w:rPr>
        <w:t xml:space="preserve"> https://www.iso.org/obp/ui/en/</w:t>
      </w:r>
    </w:p>
  </w:footnote>
  <w:footnote w:id="20">
    <w:p>
      <w:pPr>
        <w:pStyle w:val="FootnoteText"/>
        <w:spacing w:line="240" w:lineRule="auto" w:after="60"/>
        <w:ind w:left="360" w:hanging="180"/>
      </w:pPr>
      <w:r>
        <w:rPr>
          <w:sz w:val="16"/>
        </w:rPr>
        <w:footnoteRef/>
      </w:r>
      <w:r>
        <w:rPr>
          <w:sz w:val="18"/>
          <w:color w:val="404040"/>
        </w:rPr>
        <w:t xml:space="preserve"> https://www.gsc-co.com/wp-content/uploads/2024/08/SCAN-ISO-420012023_-Web.pdf</w:t>
      </w:r>
    </w:p>
  </w:footnote>
  <w:footnote w:id="19">
    <w:p>
      <w:pPr>
        <w:pStyle w:val="FootnoteText"/>
        <w:spacing w:line="240" w:lineRule="auto" w:after="60"/>
        <w:ind w:left="360" w:hanging="180"/>
      </w:pPr>
      <w:r>
        <w:rPr>
          <w:sz w:val="16"/>
        </w:rPr>
        <w:footnoteRef/>
      </w:r>
      <w:r>
        <w:rPr>
          <w:sz w:val="18"/>
          <w:color w:val="404040"/>
        </w:rPr>
        <w:t xml:space="preserve"> https://www.isms.online/iso-42001/annex-a-controls/</w:t>
      </w:r>
    </w:p>
  </w:footnote>
  <w:footnote w:id="10">
    <w:p>
      <w:pPr>
        <w:pStyle w:val="FootnoteText"/>
        <w:spacing w:line="240" w:lineRule="auto" w:after="60"/>
        <w:ind w:left="360" w:hanging="180"/>
      </w:pPr>
      <w:r>
        <w:rPr>
          <w:sz w:val="16"/>
        </w:rPr>
        <w:footnoteRef/>
      </w:r>
      <w:r>
        <w:rPr>
          <w:sz w:val="18"/>
          <w:color w:val="404040"/>
        </w:rPr>
        <w:t xml:space="preserve"> https://www.surecloud.com/resource-hub/iso-42001-annex-a-controls</w:t>
      </w:r>
    </w:p>
  </w:footnote>
  <w:footnote w:id="20">
    <w:p>
      <w:pPr>
        <w:pStyle w:val="FootnoteText"/>
        <w:spacing w:line="240" w:lineRule="auto" w:after="60"/>
        <w:ind w:left="360" w:hanging="180"/>
      </w:pPr>
      <w:r>
        <w:rPr>
          <w:sz w:val="16"/>
        </w:rPr>
        <w:footnoteRef/>
      </w:r>
      <w:r>
        <w:rPr>
          <w:sz w:val="18"/>
          <w:color w:val="404040"/>
        </w:rPr>
        <w:t xml:space="preserve"> https://www.gsc-co.com/wp-content/uploads/2024/08/SCAN-ISO-420012023_-Web.pdf</w:t>
      </w:r>
    </w:p>
  </w:footnote>
  <w:footnote w:id="4">
    <w:p>
      <w:pPr>
        <w:pStyle w:val="FootnoteText"/>
        <w:spacing w:line="240" w:lineRule="auto" w:after="60"/>
        <w:ind w:left="360" w:hanging="180"/>
      </w:pPr>
      <w:r>
        <w:rPr>
          <w:sz w:val="16"/>
        </w:rPr>
        <w:footnoteRef/>
      </w:r>
      <w:r>
        <w:rPr>
          <w:sz w:val="18"/>
          <w:color w:val="404040"/>
        </w:rPr>
        <w:t xml:space="preserve"> https://www.iso.org/obp/ui/en/</w:t>
      </w:r>
    </w:p>
  </w:footnote>
  <w:footnote w:id="10">
    <w:p>
      <w:pPr>
        <w:pStyle w:val="FootnoteText"/>
        <w:spacing w:line="240" w:lineRule="auto" w:after="60"/>
        <w:ind w:left="360" w:hanging="180"/>
      </w:pPr>
      <w:r>
        <w:rPr>
          <w:sz w:val="16"/>
        </w:rPr>
        <w:footnoteRef/>
      </w:r>
      <w:r>
        <w:rPr>
          <w:sz w:val="18"/>
          <w:color w:val="404040"/>
        </w:rPr>
        <w:t xml:space="preserve"> https://www.surecloud.com/resource-hub/iso-42001-annex-a-controls</w:t>
      </w:r>
    </w:p>
  </w:footnote>
  <w:footnote w:id="15">
    <w:p>
      <w:pPr>
        <w:pStyle w:val="FootnoteText"/>
        <w:spacing w:line="240" w:lineRule="auto" w:after="60"/>
        <w:ind w:left="360" w:hanging="180"/>
      </w:pPr>
      <w:r>
        <w:rPr>
          <w:sz w:val="16"/>
        </w:rPr>
        <w:footnoteRef/>
      </w:r>
      <w:r>
        <w:rPr>
          <w:sz w:val="18"/>
          <w:color w:val="404040"/>
        </w:rPr>
        <w:t xml:space="preserve"> https://cloudsecurityalliance.org/blog/2025/05/08/iso-42001-lessons-learned-from-auditing-and-implementing-the-framework</w:t>
      </w:r>
    </w:p>
  </w:footnote>
  <w:footnote w:id="16">
    <w:p>
      <w:pPr>
        <w:pStyle w:val="FootnoteText"/>
        <w:spacing w:line="240" w:lineRule="auto" w:after="60"/>
        <w:ind w:left="360" w:hanging="180"/>
      </w:pPr>
      <w:r>
        <w:rPr>
          <w:sz w:val="16"/>
        </w:rPr>
        <w:footnoteRef/>
      </w:r>
      <w:r>
        <w:rPr>
          <w:sz w:val="18"/>
          <w:color w:val="404040"/>
        </w:rPr>
        <w:t xml:space="preserve"> https://www.enz.ai/blog/iso-42001-practical-implementation-guide</w:t>
      </w:r>
    </w:p>
  </w:footnote>
  <w:footnote w:id="19">
    <w:p>
      <w:pPr>
        <w:pStyle w:val="FootnoteText"/>
        <w:spacing w:line="240" w:lineRule="auto" w:after="60"/>
        <w:ind w:left="360" w:hanging="180"/>
      </w:pPr>
      <w:r>
        <w:rPr>
          <w:sz w:val="16"/>
        </w:rPr>
        <w:footnoteRef/>
      </w:r>
      <w:r>
        <w:rPr>
          <w:sz w:val="18"/>
          <w:color w:val="404040"/>
        </w:rPr>
        <w:t xml:space="preserve"> https://www.isms.online/iso-42001/annex-a-controls/</w:t>
      </w:r>
    </w:p>
  </w:footnote>
  <w:footnote w:id="7">
    <w:p>
      <w:pPr>
        <w:pStyle w:val="FootnoteText"/>
        <w:spacing w:line="240" w:lineRule="auto" w:after="60"/>
        <w:ind w:left="360" w:hanging="180"/>
      </w:pPr>
      <w:r>
        <w:rPr>
          <w:sz w:val="16"/>
        </w:rPr>
        <w:footnoteRef/>
      </w:r>
      <w:r>
        <w:rPr>
          <w:sz w:val="18"/>
          <w:color w:val="404040"/>
        </w:rPr>
        <w:t xml:space="preserve"> https://www.schellman.com/blog/iso-certifications/what-are-iso-42001-requirements</w:t>
      </w:r>
    </w:p>
  </w:footnote>
  <w:footnote w:id="13">
    <w:p>
      <w:pPr>
        <w:pStyle w:val="FootnoteText"/>
        <w:spacing w:line="240" w:lineRule="auto" w:after="60"/>
        <w:ind w:left="360" w:hanging="180"/>
      </w:pPr>
      <w:r>
        <w:rPr>
          <w:sz w:val="16"/>
        </w:rPr>
        <w:footnoteRef/>
      </w:r>
      <w:r>
        <w:rPr>
          <w:sz w:val="18"/>
          <w:color w:val="404040"/>
        </w:rPr>
        <w:t xml:space="preserve"> https://secureprivacy.ai/blog/iso-42001-implementation-guide-2026</w:t>
      </w:r>
    </w:p>
  </w:footnote>
  <w:footnote w:id="5">
    <w:p>
      <w:pPr>
        <w:pStyle w:val="FootnoteText"/>
        <w:spacing w:line="240" w:lineRule="auto" w:after="60"/>
        <w:ind w:left="360" w:hanging="180"/>
      </w:pPr>
      <w:r>
        <w:rPr>
          <w:sz w:val="16"/>
        </w:rPr>
        <w:footnoteRef/>
      </w:r>
      <w:r>
        <w:rPr>
          <w:sz w:val="18"/>
          <w:color w:val="404040"/>
        </w:rPr>
        <w:t xml:space="preserve"> https://techjacksolutions.com/iso/42001/what-is-iso-42001-clause-9/</w:t>
      </w:r>
    </w:p>
  </w:footnote>
  <w:footnote w:id="14">
    <w:p>
      <w:pPr>
        <w:pStyle w:val="FootnoteText"/>
        <w:spacing w:line="240" w:lineRule="auto" w:after="60"/>
        <w:ind w:left="360" w:hanging="180"/>
      </w:pPr>
      <w:r>
        <w:rPr>
          <w:sz w:val="16"/>
        </w:rPr>
        <w:footnoteRef/>
      </w:r>
      <w:r>
        <w:rPr>
          <w:sz w:val="18"/>
          <w:color w:val="404040"/>
        </w:rPr>
        <w:t xml:space="preserve"> https://www.aigl.blog/iso-42001-checklist-of-implementation-steps/</w:t>
      </w:r>
    </w:p>
  </w:footnote>
  <w:footnote w:id="16">
    <w:p>
      <w:pPr>
        <w:pStyle w:val="FootnoteText"/>
        <w:spacing w:line="240" w:lineRule="auto" w:after="60"/>
        <w:ind w:left="360" w:hanging="180"/>
      </w:pPr>
      <w:r>
        <w:rPr>
          <w:sz w:val="16"/>
        </w:rPr>
        <w:footnoteRef/>
      </w:r>
      <w:r>
        <w:rPr>
          <w:sz w:val="18"/>
          <w:color w:val="404040"/>
        </w:rPr>
        <w:t xml:space="preserve"> https://www.enz.ai/blog/iso-42001-practical-implementation-guide</w:t>
      </w:r>
    </w:p>
  </w:footnote>
  <w:footnote w:id="19">
    <w:p>
      <w:pPr>
        <w:pStyle w:val="FootnoteText"/>
        <w:spacing w:line="240" w:lineRule="auto" w:after="60"/>
        <w:ind w:left="360" w:hanging="180"/>
      </w:pPr>
      <w:r>
        <w:rPr>
          <w:sz w:val="16"/>
        </w:rPr>
        <w:footnoteRef/>
      </w:r>
      <w:r>
        <w:rPr>
          <w:sz w:val="18"/>
          <w:color w:val="404040"/>
        </w:rPr>
        <w:t xml:space="preserve"> https://www.isms.online/iso-42001/annex-a-controls/</w:t>
      </w:r>
    </w:p>
  </w:footnote>
  <w:footnote w:id="10">
    <w:p>
      <w:pPr>
        <w:pStyle w:val="FootnoteText"/>
        <w:spacing w:line="240" w:lineRule="auto" w:after="60"/>
        <w:ind w:left="360" w:hanging="180"/>
      </w:pPr>
      <w:r>
        <w:rPr>
          <w:sz w:val="16"/>
        </w:rPr>
        <w:footnoteRef/>
      </w:r>
      <w:r>
        <w:rPr>
          <w:sz w:val="18"/>
          <w:color w:val="404040"/>
        </w:rPr>
        <w:t xml:space="preserve"> https://www.surecloud.com/resource-hub/iso-42001-annex-a-controls</w:t>
      </w:r>
    </w:p>
  </w:footnote>
  <w:footnote w:id="15">
    <w:p>
      <w:pPr>
        <w:pStyle w:val="FootnoteText"/>
        <w:spacing w:line="240" w:lineRule="auto" w:after="60"/>
        <w:ind w:left="360" w:hanging="180"/>
      </w:pPr>
      <w:r>
        <w:rPr>
          <w:sz w:val="16"/>
        </w:rPr>
        <w:footnoteRef/>
      </w:r>
      <w:r>
        <w:rPr>
          <w:sz w:val="18"/>
          <w:color w:val="404040"/>
        </w:rPr>
        <w:t xml:space="preserve"> https://cloudsecurityalliance.org/blog/2025/05/08/iso-42001-lessons-learned-from-auditing-and-implementing-the-framework</w:t>
      </w:r>
    </w:p>
  </w:footnote>
  <w:footnote w:id="21">
    <w:p>
      <w:pPr>
        <w:pStyle w:val="FootnoteText"/>
        <w:spacing w:line="240" w:lineRule="auto" w:after="60"/>
        <w:ind w:left="360" w:hanging="180"/>
      </w:pPr>
      <w:r>
        <w:rPr>
          <w:sz w:val="16"/>
        </w:rPr>
        <w:footnoteRef/>
      </w:r>
      <w:r>
        <w:rPr>
          <w:sz w:val="18"/>
          <w:color w:val="404040"/>
        </w:rPr>
        <w:t xml:space="preserve"> https://www.schellman.com/blog/ai-services/ai-governance-and-iso-42001-faqs</w:t>
      </w:r>
    </w:p>
  </w:footnote>
  <w:footnote w:id="9">
    <w:p>
      <w:pPr>
        <w:pStyle w:val="FootnoteText"/>
        <w:spacing w:line="240" w:lineRule="auto" w:after="60"/>
        <w:ind w:left="360" w:hanging="180"/>
      </w:pPr>
      <w:r>
        <w:rPr>
          <w:sz w:val="16"/>
        </w:rPr>
        <w:footnoteRef/>
      </w:r>
      <w:r>
        <w:rPr>
          <w:sz w:val="18"/>
          <w:color w:val="404040"/>
        </w:rPr>
        <w:t xml:space="preserve"> https://kpmg.com/ch/en/insights/artificial-intelligence/iso-iec-42001.html</w:t>
      </w:r>
    </w:p>
  </w:footnote>
  <w:footnote w:id="13">
    <w:p>
      <w:pPr>
        <w:pStyle w:val="FootnoteText"/>
        <w:spacing w:line="240" w:lineRule="auto" w:after="60"/>
        <w:ind w:left="360" w:hanging="180"/>
      </w:pPr>
      <w:r>
        <w:rPr>
          <w:sz w:val="16"/>
        </w:rPr>
        <w:footnoteRef/>
      </w:r>
      <w:r>
        <w:rPr>
          <w:sz w:val="18"/>
          <w:color w:val="404040"/>
        </w:rPr>
        <w:t xml:space="preserve"> https://secureprivacy.ai/blog/iso-42001-implementation-guide-2026</w:t>
      </w:r>
    </w:p>
  </w:footnote>
  <w:footnote w:id="18">
    <w:p>
      <w:pPr>
        <w:pStyle w:val="FootnoteText"/>
        <w:spacing w:line="240" w:lineRule="auto" w:after="60"/>
        <w:ind w:left="360" w:hanging="180"/>
      </w:pPr>
      <w:r>
        <w:rPr>
          <w:sz w:val="16"/>
        </w:rPr>
        <w:footnoteRef/>
      </w:r>
      <w:r>
        <w:rPr>
          <w:sz w:val="18"/>
          <w:color w:val="404040"/>
        </w:rPr>
        <w:t xml:space="preserve"> https://www.scrut.io/post/ultimate-guide-to-iso-42001-2023</w:t>
      </w:r>
    </w:p>
  </w:footnote>
  <w:footnote w:id="7">
    <w:p>
      <w:pPr>
        <w:pStyle w:val="FootnoteText"/>
        <w:spacing w:line="240" w:lineRule="auto" w:after="60"/>
        <w:ind w:left="360" w:hanging="180"/>
      </w:pPr>
      <w:r>
        <w:rPr>
          <w:sz w:val="16"/>
        </w:rPr>
        <w:footnoteRef/>
      </w:r>
      <w:r>
        <w:rPr>
          <w:sz w:val="18"/>
          <w:color w:val="404040"/>
        </w:rPr>
        <w:t xml:space="preserve"> https://www.schellman.com/blog/iso-certifications/what-are-iso-42001-requirements</w:t>
      </w:r>
    </w:p>
  </w:footnote>
  <w:footnote w:id="16">
    <w:p>
      <w:pPr>
        <w:pStyle w:val="FootnoteText"/>
        <w:spacing w:line="240" w:lineRule="auto" w:after="60"/>
        <w:ind w:left="360" w:hanging="180"/>
      </w:pPr>
      <w:r>
        <w:rPr>
          <w:sz w:val="16"/>
        </w:rPr>
        <w:footnoteRef/>
      </w:r>
      <w:r>
        <w:rPr>
          <w:sz w:val="18"/>
          <w:color w:val="404040"/>
        </w:rPr>
        <w:t xml:space="preserve"> https://www.enz.ai/blog/iso-42001-practical-implementation-guide</w:t>
      </w:r>
    </w:p>
  </w:footnote>
  <w:footnote w:id="10">
    <w:p>
      <w:pPr>
        <w:pStyle w:val="FootnoteText"/>
        <w:spacing w:line="240" w:lineRule="auto" w:after="60"/>
        <w:ind w:left="360" w:hanging="180"/>
      </w:pPr>
      <w:r>
        <w:rPr>
          <w:sz w:val="16"/>
        </w:rPr>
        <w:footnoteRef/>
      </w:r>
      <w:r>
        <w:rPr>
          <w:sz w:val="18"/>
          <w:color w:val="404040"/>
        </w:rPr>
        <w:t xml:space="preserve"> https://www.surecloud.com/resource-hub/iso-42001-annex-a-controls</w:t>
      </w:r>
    </w:p>
  </w:footnote>
  <w:footnote w:id="5">
    <w:p>
      <w:pPr>
        <w:pStyle w:val="FootnoteText"/>
        <w:spacing w:line="240" w:lineRule="auto" w:after="60"/>
        <w:ind w:left="360" w:hanging="180"/>
      </w:pPr>
      <w:r>
        <w:rPr>
          <w:sz w:val="16"/>
        </w:rPr>
        <w:footnoteRef/>
      </w:r>
      <w:r>
        <w:rPr>
          <w:sz w:val="18"/>
          <w:color w:val="404040"/>
        </w:rPr>
        <w:t xml:space="preserve"> https://techjacksolutions.com/iso/42001/what-is-iso-42001-clause-9/</w:t>
      </w:r>
    </w:p>
  </w:footnote>
  <w:footnote w:id="14">
    <w:p>
      <w:pPr>
        <w:pStyle w:val="FootnoteText"/>
        <w:spacing w:line="240" w:lineRule="auto" w:after="60"/>
        <w:ind w:left="360" w:hanging="180"/>
      </w:pPr>
      <w:r>
        <w:rPr>
          <w:sz w:val="16"/>
        </w:rPr>
        <w:footnoteRef/>
      </w:r>
      <w:r>
        <w:rPr>
          <w:sz w:val="18"/>
          <w:color w:val="404040"/>
        </w:rPr>
        <w:t xml:space="preserve"> https://www.aigl.blog/iso-42001-checklist-of-implementation-steps/</w:t>
      </w:r>
    </w:p>
  </w:footnote>
  <w:footnote w:id="15">
    <w:p>
      <w:pPr>
        <w:pStyle w:val="FootnoteText"/>
        <w:spacing w:line="240" w:lineRule="auto" w:after="60"/>
        <w:ind w:left="360" w:hanging="180"/>
      </w:pPr>
      <w:r>
        <w:rPr>
          <w:sz w:val="16"/>
        </w:rPr>
        <w:footnoteRef/>
      </w:r>
      <w:r>
        <w:rPr>
          <w:sz w:val="18"/>
          <w:color w:val="404040"/>
        </w:rPr>
        <w:t xml:space="preserve"> https://cloudsecurityalliance.org/blog/2025/05/08/iso-42001-lessons-learned-from-auditing-and-implementing-the-framework</w:t>
      </w:r>
    </w:p>
  </w:footnote>
  <w:footnote w:id="13">
    <w:p>
      <w:pPr>
        <w:pStyle w:val="FootnoteText"/>
        <w:spacing w:line="240" w:lineRule="auto" w:after="60"/>
        <w:ind w:left="360" w:hanging="180"/>
      </w:pPr>
      <w:r>
        <w:rPr>
          <w:sz w:val="16"/>
        </w:rPr>
        <w:footnoteRef/>
      </w:r>
      <w:r>
        <w:rPr>
          <w:sz w:val="18"/>
          <w:color w:val="404040"/>
        </w:rPr>
        <w:t xml:space="preserve"> https://secureprivacy.ai/blog/iso-42001-implementation-guide-2026</w:t>
      </w:r>
    </w:p>
  </w:footnote>
  <w:footnote w:id="16">
    <w:p>
      <w:pPr>
        <w:pStyle w:val="FootnoteText"/>
        <w:spacing w:line="240" w:lineRule="auto" w:after="60"/>
        <w:ind w:left="360" w:hanging="180"/>
      </w:pPr>
      <w:r>
        <w:rPr>
          <w:sz w:val="16"/>
        </w:rPr>
        <w:footnoteRef/>
      </w:r>
      <w:r>
        <w:rPr>
          <w:sz w:val="18"/>
          <w:color w:val="404040"/>
        </w:rPr>
        <w:t xml:space="preserve"> https://www.enz.ai/blog/iso-42001-practical-implementation-guide</w:t>
      </w:r>
    </w:p>
  </w:footnote>
  <w:footnote w:id="19">
    <w:p>
      <w:pPr>
        <w:pStyle w:val="FootnoteText"/>
        <w:spacing w:line="240" w:lineRule="auto" w:after="60"/>
        <w:ind w:left="360" w:hanging="180"/>
      </w:pPr>
      <w:r>
        <w:rPr>
          <w:sz w:val="16"/>
        </w:rPr>
        <w:footnoteRef/>
      </w:r>
      <w:r>
        <w:rPr>
          <w:sz w:val="18"/>
          <w:color w:val="404040"/>
        </w:rPr>
        <w:t xml:space="preserve"> https://www.isms.online/iso-42001/annex-a-controls/</w:t>
      </w:r>
    </w:p>
  </w:footnote>
  <w:footnote w:id="10">
    <w:p>
      <w:pPr>
        <w:pStyle w:val="FootnoteText"/>
        <w:spacing w:line="240" w:lineRule="auto" w:after="60"/>
        <w:ind w:left="360" w:hanging="180"/>
      </w:pPr>
      <w:r>
        <w:rPr>
          <w:sz w:val="16"/>
        </w:rPr>
        <w:footnoteRef/>
      </w:r>
      <w:r>
        <w:rPr>
          <w:sz w:val="18"/>
          <w:color w:val="404040"/>
        </w:rPr>
        <w:t xml:space="preserve"> https://www.surecloud.com/resource-hub/iso-42001-annex-a-controls</w:t>
      </w:r>
    </w:p>
  </w:footnote>
  <w:footnote w:id="5">
    <w:p>
      <w:pPr>
        <w:pStyle w:val="FootnoteText"/>
        <w:spacing w:line="240" w:lineRule="auto" w:after="60"/>
        <w:ind w:left="360" w:hanging="180"/>
      </w:pPr>
      <w:r>
        <w:rPr>
          <w:sz w:val="16"/>
        </w:rPr>
        <w:footnoteRef/>
      </w:r>
      <w:r>
        <w:rPr>
          <w:sz w:val="18"/>
          <w:color w:val="404040"/>
        </w:rPr>
        <w:t xml:space="preserve"> https://techjacksolutions.com/iso/42001/what-is-iso-42001-clause-9/</w:t>
      </w:r>
    </w:p>
  </w:footnote>
  <w:footnote w:id="15">
    <w:p>
      <w:pPr>
        <w:pStyle w:val="FootnoteText"/>
        <w:spacing w:line="240" w:lineRule="auto" w:after="60"/>
        <w:ind w:left="360" w:hanging="180"/>
      </w:pPr>
      <w:r>
        <w:rPr>
          <w:sz w:val="16"/>
        </w:rPr>
        <w:footnoteRef/>
      </w:r>
      <w:r>
        <w:rPr>
          <w:sz w:val="18"/>
          <w:color w:val="404040"/>
        </w:rPr>
        <w:t xml:space="preserve"> https://cloudsecurityalliance.org/blog/2025/05/08/iso-42001-lessons-learned-from-auditing-and-implementing-the-framework</w:t>
      </w:r>
    </w:p>
  </w:footnote>
  <w:footnote w:id="11">
    <w:p>
      <w:pPr>
        <w:pStyle w:val="FootnoteText"/>
        <w:spacing w:line="240" w:lineRule="auto" w:after="60"/>
        <w:ind w:left="360" w:hanging="180"/>
      </w:pPr>
      <w:r>
        <w:rPr>
          <w:sz w:val="16"/>
        </w:rPr>
        <w:footnoteRef/>
      </w:r>
      <w:r>
        <w:rPr>
          <w:sz w:val="18"/>
          <w:color w:val="404040"/>
        </w:rPr>
        <w:t xml:space="preserve"> https://www.linkedin.com/posts/tech-jacks-solutions_what-is-iso-42001-clause-9-performance-evaluation-activity-7426488503783395328-1e9U</w:t>
      </w:r>
    </w:p>
  </w:footnote>
  <w:footnote w:id="16">
    <w:p>
      <w:pPr>
        <w:pStyle w:val="FootnoteText"/>
        <w:spacing w:line="240" w:lineRule="auto" w:after="60"/>
        <w:ind w:left="360" w:hanging="180"/>
      </w:pPr>
      <w:r>
        <w:rPr>
          <w:sz w:val="16"/>
        </w:rPr>
        <w:footnoteRef/>
      </w:r>
      <w:r>
        <w:rPr>
          <w:sz w:val="18"/>
          <w:color w:val="404040"/>
        </w:rPr>
        <w:t xml:space="preserve"> https://www.enz.ai/blog/iso-42001-practical-implementation-guide</w:t>
      </w:r>
    </w:p>
  </w:footnote>
  <w:footnote w:id="13">
    <w:p>
      <w:pPr>
        <w:pStyle w:val="FootnoteText"/>
        <w:spacing w:line="240" w:lineRule="auto" w:after="60"/>
        <w:ind w:left="360" w:hanging="180"/>
      </w:pPr>
      <w:r>
        <w:rPr>
          <w:sz w:val="16"/>
        </w:rPr>
        <w:footnoteRef/>
      </w:r>
      <w:r>
        <w:rPr>
          <w:sz w:val="18"/>
          <w:color w:val="404040"/>
        </w:rPr>
        <w:t xml:space="preserve"> https://secureprivacy.ai/blog/iso-42001-implementation-guide-2026</w:t>
      </w:r>
    </w:p>
  </w:footnote>
  <w:footnote w:id="19">
    <w:p>
      <w:pPr>
        <w:pStyle w:val="FootnoteText"/>
        <w:spacing w:line="240" w:lineRule="auto" w:after="60"/>
        <w:ind w:left="360" w:hanging="180"/>
      </w:pPr>
      <w:r>
        <w:rPr>
          <w:sz w:val="16"/>
        </w:rPr>
        <w:footnoteRef/>
      </w:r>
      <w:r>
        <w:rPr>
          <w:sz w:val="18"/>
          <w:color w:val="404040"/>
        </w:rPr>
        <w:t xml:space="preserve"> https://www.isms.online/iso-42001/annex-a-controls/</w:t>
      </w:r>
    </w:p>
  </w:footnote>
  <w:footnote w:id="10">
    <w:p>
      <w:pPr>
        <w:pStyle w:val="FootnoteText"/>
        <w:spacing w:line="240" w:lineRule="auto" w:after="60"/>
        <w:ind w:left="360" w:hanging="180"/>
      </w:pPr>
      <w:r>
        <w:rPr>
          <w:sz w:val="16"/>
        </w:rPr>
        <w:footnoteRef/>
      </w:r>
      <w:r>
        <w:rPr>
          <w:sz w:val="18"/>
          <w:color w:val="404040"/>
        </w:rPr>
        <w:t xml:space="preserve"> https://www.surecloud.com/resource-hub/iso-42001-annex-a-controls</w:t>
      </w:r>
    </w:p>
  </w:footnote>
  <w:footnote w:id="5">
    <w:p>
      <w:pPr>
        <w:pStyle w:val="FootnoteText"/>
        <w:spacing w:line="240" w:lineRule="auto" w:after="60"/>
        <w:ind w:left="360" w:hanging="180"/>
      </w:pPr>
      <w:r>
        <w:rPr>
          <w:sz w:val="16"/>
        </w:rPr>
        <w:footnoteRef/>
      </w:r>
      <w:r>
        <w:rPr>
          <w:sz w:val="18"/>
          <w:color w:val="404040"/>
        </w:rPr>
        <w:t xml:space="preserve"> https://techjacksolutions.com/iso/42001/what-is-iso-42001-clause-9/</w:t>
      </w:r>
    </w:p>
  </w:footnote>
  <w:footnote w:id="14">
    <w:p>
      <w:pPr>
        <w:pStyle w:val="FootnoteText"/>
        <w:spacing w:line="240" w:lineRule="auto" w:after="60"/>
        <w:ind w:left="360" w:hanging="180"/>
      </w:pPr>
      <w:r>
        <w:rPr>
          <w:sz w:val="16"/>
        </w:rPr>
        <w:footnoteRef/>
      </w:r>
      <w:r>
        <w:rPr>
          <w:sz w:val="18"/>
          <w:color w:val="404040"/>
        </w:rPr>
        <w:t xml:space="preserve"> https://www.aigl.blog/iso-42001-checklist-of-implementation-steps/</w:t>
      </w:r>
    </w:p>
  </w:footnote>
  <w:footnote w:id="15">
    <w:p>
      <w:pPr>
        <w:pStyle w:val="FootnoteText"/>
        <w:spacing w:line="240" w:lineRule="auto" w:after="60"/>
        <w:ind w:left="360" w:hanging="180"/>
      </w:pPr>
      <w:r>
        <w:rPr>
          <w:sz w:val="16"/>
        </w:rPr>
        <w:footnoteRef/>
      </w:r>
      <w:r>
        <w:rPr>
          <w:sz w:val="18"/>
          <w:color w:val="404040"/>
        </w:rPr>
        <w:t xml:space="preserve"> https://cloudsecurityalliance.org/blog/2025/05/08/iso-42001-lessons-learned-from-auditing-and-implementing-the-framework</w:t>
      </w:r>
    </w:p>
  </w:footnote>
  <w:footnote w:id="9">
    <w:p>
      <w:pPr>
        <w:pStyle w:val="FootnoteText"/>
        <w:spacing w:line="240" w:lineRule="auto" w:after="60"/>
        <w:ind w:left="360" w:hanging="180"/>
      </w:pPr>
      <w:r>
        <w:rPr>
          <w:sz w:val="16"/>
        </w:rPr>
        <w:footnoteRef/>
      </w:r>
      <w:r>
        <w:rPr>
          <w:sz w:val="18"/>
          <w:color w:val="404040"/>
        </w:rPr>
        <w:t xml:space="preserve"> https://kpmg.com/ch/en/insights/artificial-intelligence/iso-iec-42001.html</w:t>
      </w:r>
    </w:p>
  </w:footnote>
  <w:footnote w:id="21">
    <w:p>
      <w:pPr>
        <w:pStyle w:val="FootnoteText"/>
        <w:spacing w:line="240" w:lineRule="auto" w:after="60"/>
        <w:ind w:left="360" w:hanging="180"/>
      </w:pPr>
      <w:r>
        <w:rPr>
          <w:sz w:val="16"/>
        </w:rPr>
        <w:footnoteRef/>
      </w:r>
      <w:r>
        <w:rPr>
          <w:sz w:val="18"/>
          <w:color w:val="404040"/>
        </w:rPr>
        <w:t xml:space="preserve"> https://www.schellman.com/blog/ai-services/ai-governance-and-iso-42001-faqs</w:t>
      </w:r>
    </w:p>
  </w:footnote>
  <w:footnote w:id="18">
    <w:p>
      <w:pPr>
        <w:pStyle w:val="FootnoteText"/>
        <w:spacing w:line="240" w:lineRule="auto" w:after="60"/>
        <w:ind w:left="360" w:hanging="180"/>
      </w:pPr>
      <w:r>
        <w:rPr>
          <w:sz w:val="16"/>
        </w:rPr>
        <w:footnoteRef/>
      </w:r>
      <w:r>
        <w:rPr>
          <w:sz w:val="18"/>
          <w:color w:val="404040"/>
        </w:rPr>
        <w:t xml:space="preserve"> https://www.scrut.io/post/ultimate-guide-to-iso-42001-2023</w:t>
      </w:r>
    </w:p>
  </w:footnote>
  <w:footnote w:id="7">
    <w:p>
      <w:pPr>
        <w:pStyle w:val="FootnoteText"/>
        <w:spacing w:line="240" w:lineRule="auto" w:after="60"/>
        <w:ind w:left="360" w:hanging="180"/>
      </w:pPr>
      <w:r>
        <w:rPr>
          <w:sz w:val="16"/>
        </w:rPr>
        <w:footnoteRef/>
      </w:r>
      <w:r>
        <w:rPr>
          <w:sz w:val="18"/>
          <w:color w:val="404040"/>
        </w:rPr>
        <w:t xml:space="preserve"> https://www.schellman.com/blog/iso-certifications/what-are-iso-42001-requirements</w:t>
      </w:r>
    </w:p>
  </w:footnote>
  <w:footnote w:id="10">
    <w:p>
      <w:pPr>
        <w:pStyle w:val="FootnoteText"/>
        <w:spacing w:line="240" w:lineRule="auto" w:after="60"/>
        <w:ind w:left="360" w:hanging="180"/>
      </w:pPr>
      <w:r>
        <w:rPr>
          <w:sz w:val="16"/>
        </w:rPr>
        <w:footnoteRef/>
      </w:r>
      <w:r>
        <w:rPr>
          <w:sz w:val="18"/>
          <w:color w:val="404040"/>
        </w:rPr>
        <w:t xml:space="preserve"> https://www.surecloud.com/resource-hub/iso-42001-annex-a-controls</w:t>
      </w:r>
    </w:p>
  </w:footnote>
  <w:footnote w:id="5">
    <w:p>
      <w:pPr>
        <w:pStyle w:val="FootnoteText"/>
        <w:spacing w:line="240" w:lineRule="auto" w:after="60"/>
        <w:ind w:left="360" w:hanging="180"/>
      </w:pPr>
      <w:r>
        <w:rPr>
          <w:sz w:val="16"/>
        </w:rPr>
        <w:footnoteRef/>
      </w:r>
      <w:r>
        <w:rPr>
          <w:sz w:val="18"/>
          <w:color w:val="404040"/>
        </w:rPr>
        <w:t xml:space="preserve"> https://techjacksolutions.com/iso/42001/what-is-iso-42001-clause-9/</w:t>
      </w:r>
    </w:p>
  </w:footnote>
  <w:footnote w:id="14">
    <w:p>
      <w:pPr>
        <w:pStyle w:val="FootnoteText"/>
        <w:spacing w:line="240" w:lineRule="auto" w:after="60"/>
        <w:ind w:left="360" w:hanging="180"/>
      </w:pPr>
      <w:r>
        <w:rPr>
          <w:sz w:val="16"/>
        </w:rPr>
        <w:footnoteRef/>
      </w:r>
      <w:r>
        <w:rPr>
          <w:sz w:val="18"/>
          <w:color w:val="404040"/>
        </w:rPr>
        <w:t xml:space="preserve"> https://www.aigl.blog/iso-42001-checklist-of-implementation-steps/</w:t>
      </w:r>
    </w:p>
  </w:footnote>
  <w:footnote w:id="15">
    <w:p>
      <w:pPr>
        <w:pStyle w:val="FootnoteText"/>
        <w:spacing w:line="240" w:lineRule="auto" w:after="60"/>
        <w:ind w:left="360" w:hanging="180"/>
      </w:pPr>
      <w:r>
        <w:rPr>
          <w:sz w:val="16"/>
        </w:rPr>
        <w:footnoteRef/>
      </w:r>
      <w:r>
        <w:rPr>
          <w:sz w:val="18"/>
          <w:color w:val="404040"/>
        </w:rPr>
        <w:t xml:space="preserve"> https://cloudsecurityalliance.org/blog/2025/05/08/iso-42001-lessons-learned-from-auditing-and-implementing-the-framework</w:t>
      </w:r>
    </w:p>
  </w:footnote>
  <w:footnote w:id="3">
    <w:p>
      <w:pPr>
        <w:pStyle w:val="FootnoteText"/>
        <w:spacing w:line="240" w:lineRule="auto" w:after="60"/>
        <w:ind w:left="360" w:hanging="180"/>
      </w:pPr>
      <w:r>
        <w:rPr>
          <w:sz w:val="16"/>
        </w:rPr>
        <w:footnoteRef/>
      </w:r>
      <w:r>
        <w:rPr>
          <w:sz w:val="18"/>
          <w:color w:val="404040"/>
        </w:rPr>
        <w:t xml:space="preserve"> https://digital.gob.es/en/comunicacion/notas-prensa/mtdfp/2025/05/2025-05-06_02</w:t>
      </w:r>
    </w:p>
  </w:footnote>
  <w:footnote w:id="6">
    <w:p>
      <w:pPr>
        <w:pStyle w:val="FootnoteText"/>
        <w:spacing w:line="240" w:lineRule="auto" w:after="60"/>
        <w:ind w:left="360" w:hanging="180"/>
      </w:pPr>
      <w:r>
        <w:rPr>
          <w:sz w:val="16"/>
        </w:rPr>
        <w:footnoteRef/>
      </w:r>
      <w:r>
        <w:rPr>
          <w:sz w:val="18"/>
          <w:color w:val="404040"/>
        </w:rPr>
        <w:t xml:space="preserve"> https://eiposgrados.com/eng/cybersecurity-blog/cybersecurity-incidents-in-spain-2025-incibe-report/</w:t>
      </w:r>
    </w:p>
  </w:footnote>
  <w:footnote w:id="8">
    <w:p>
      <w:pPr>
        <w:pStyle w:val="FootnoteText"/>
        <w:spacing w:line="240" w:lineRule="auto" w:after="60"/>
        <w:ind w:left="360" w:hanging="180"/>
      </w:pPr>
      <w:r>
        <w:rPr>
          <w:sz w:val="16"/>
        </w:rPr>
        <w:footnoteRef/>
      </w:r>
      <w:r>
        <w:rPr>
          <w:sz w:val="18"/>
          <w:color w:val="404040"/>
        </w:rPr>
        <w:t xml:space="preserve"> https://www.incibe.es/en</w:t>
      </w:r>
    </w:p>
  </w:footnote>
  <w:footnote w:id="18">
    <w:p>
      <w:pPr>
        <w:pStyle w:val="FootnoteText"/>
        <w:spacing w:line="240" w:lineRule="auto" w:after="60"/>
        <w:ind w:left="360" w:hanging="180"/>
      </w:pPr>
      <w:r>
        <w:rPr>
          <w:sz w:val="16"/>
        </w:rPr>
        <w:footnoteRef/>
      </w:r>
      <w:r>
        <w:rPr>
          <w:sz w:val="18"/>
          <w:color w:val="404040"/>
        </w:rPr>
        <w:t xml:space="preserve"> https://www.scrut.io/post/ultimate-guide-to-iso-42001-2023</w:t>
      </w:r>
    </w:p>
  </w:footnote>
  <w:footnote w:id="13">
    <w:p>
      <w:pPr>
        <w:pStyle w:val="FootnoteText"/>
        <w:spacing w:line="240" w:lineRule="auto" w:after="60"/>
        <w:ind w:left="360" w:hanging="180"/>
      </w:pPr>
      <w:r>
        <w:rPr>
          <w:sz w:val="16"/>
        </w:rPr>
        <w:footnoteRef/>
      </w:r>
      <w:r>
        <w:rPr>
          <w:sz w:val="18"/>
          <w:color w:val="404040"/>
        </w:rPr>
        <w:t xml:space="preserve"> https://secureprivacy.ai/blog/iso-42001-implementation-guide-2026</w:t>
      </w:r>
    </w:p>
  </w:footnote>
  <w:footnote w:id="5">
    <w:p>
      <w:pPr>
        <w:pStyle w:val="FootnoteText"/>
        <w:spacing w:line="240" w:lineRule="auto" w:after="60"/>
        <w:ind w:left="360" w:hanging="180"/>
      </w:pPr>
      <w:r>
        <w:rPr>
          <w:sz w:val="16"/>
        </w:rPr>
        <w:footnoteRef/>
      </w:r>
      <w:r>
        <w:rPr>
          <w:sz w:val="18"/>
          <w:color w:val="404040"/>
        </w:rPr>
        <w:t xml:space="preserve"> https://techjacksolutions.com/iso/42001/what-is-iso-42001-clause-9/</w:t>
      </w:r>
    </w:p>
  </w:footnote>
  <w:footnote w:id="15">
    <w:p>
      <w:pPr>
        <w:pStyle w:val="FootnoteText"/>
        <w:spacing w:line="240" w:lineRule="auto" w:after="60"/>
        <w:ind w:left="360" w:hanging="180"/>
      </w:pPr>
      <w:r>
        <w:rPr>
          <w:sz w:val="16"/>
        </w:rPr>
        <w:footnoteRef/>
      </w:r>
      <w:r>
        <w:rPr>
          <w:sz w:val="18"/>
          <w:color w:val="404040"/>
        </w:rPr>
        <w:t xml:space="preserve"> https://cloudsecurityalliance.org/blog/2025/05/08/iso-42001-lessons-learned-from-auditing-and-implementing-the-framework</w:t>
      </w:r>
    </w:p>
  </w:footnote>
  <w:footnote w:id="2">
    <w:p>
      <w:pPr>
        <w:pStyle w:val="FootnoteText"/>
        <w:spacing w:line="240" w:lineRule="auto" w:after="60"/>
        <w:ind w:left="360" w:hanging="180"/>
      </w:pPr>
      <w:r>
        <w:rPr>
          <w:sz w:val="16"/>
        </w:rPr>
        <w:footnoteRef/>
      </w:r>
      <w:r>
        <w:rPr>
          <w:sz w:val="18"/>
          <w:color w:val="404040"/>
        </w:rPr>
        <w:t xml:space="preserve"> https://portal.mineco.gob.es/RecursosArticulo/mineco/ministerio/ficheros/210204_Digital_Spain_2025.pdf</w:t>
      </w:r>
    </w:p>
  </w:footnote>
  <w:footnote w:id="6">
    <w:p>
      <w:pPr>
        <w:pStyle w:val="FootnoteText"/>
        <w:spacing w:line="240" w:lineRule="auto" w:after="60"/>
        <w:ind w:left="360" w:hanging="180"/>
      </w:pPr>
      <w:r>
        <w:rPr>
          <w:sz w:val="16"/>
        </w:rPr>
        <w:footnoteRef/>
      </w:r>
      <w:r>
        <w:rPr>
          <w:sz w:val="18"/>
          <w:color w:val="404040"/>
        </w:rPr>
        <w:t xml:space="preserve"> https://eiposgrados.com/eng/cybersecurity-blog/cybersecurity-incidents-in-spain-2025-incibe-report/</w:t>
      </w:r>
    </w:p>
  </w:footnote>
  <w:footnote w:id="1">
    <w:p>
      <w:pPr>
        <w:pStyle w:val="FootnoteText"/>
        <w:spacing w:line="240" w:lineRule="auto" w:after="60"/>
        <w:ind w:left="360" w:hanging="180"/>
      </w:pPr>
      <w:r>
        <w:rPr>
          <w:sz w:val="16"/>
        </w:rPr>
        <w:footnoteRef/>
      </w:r>
      <w:r>
        <w:rPr>
          <w:sz w:val="18"/>
          <w:color w:val="404040"/>
        </w:rPr>
        <w:t xml:space="preserve"> https://ai-watch.ec.europa.eu/countries/spain/spain-ai-strategy-report_en</w:t>
      </w:r>
    </w:p>
  </w:footnote>
  <w:footnote w:id="3">
    <w:p>
      <w:pPr>
        <w:pStyle w:val="FootnoteText"/>
        <w:spacing w:line="240" w:lineRule="auto" w:after="60"/>
        <w:ind w:left="360" w:hanging="180"/>
      </w:pPr>
      <w:r>
        <w:rPr>
          <w:sz w:val="16"/>
        </w:rPr>
        <w:footnoteRef/>
      </w:r>
      <w:r>
        <w:rPr>
          <w:sz w:val="18"/>
          <w:color w:val="404040"/>
        </w:rPr>
        <w:t xml:space="preserve"> https://digital.gob.es/en/comunicacion/notas-prensa/mtdfp/2025/05/2025-05-06_02</w:t>
      </w:r>
    </w:p>
  </w:footnote>
  <w:footnote w:id="8">
    <w:p>
      <w:pPr>
        <w:pStyle w:val="FootnoteText"/>
        <w:spacing w:line="240" w:lineRule="auto" w:after="60"/>
        <w:ind w:left="360" w:hanging="180"/>
      </w:pPr>
      <w:r>
        <w:rPr>
          <w:sz w:val="16"/>
        </w:rPr>
        <w:footnoteRef/>
      </w:r>
      <w:r>
        <w:rPr>
          <w:sz w:val="18"/>
          <w:color w:val="404040"/>
        </w:rPr>
        <w:t xml:space="preserve"> https://www.incibe.es/en</w:t>
      </w:r>
    </w:p>
  </w:footnote>
  <w:footnote w:id="3">
    <w:p>
      <w:pPr>
        <w:pStyle w:val="FootnoteText"/>
        <w:spacing w:line="240" w:lineRule="auto" w:after="60"/>
        <w:ind w:left="360" w:hanging="180"/>
      </w:pPr>
      <w:r>
        <w:rPr>
          <w:sz w:val="16"/>
        </w:rPr>
        <w:footnoteRef/>
      </w:r>
      <w:r>
        <w:rPr>
          <w:sz w:val="18"/>
          <w:color w:val="404040"/>
        </w:rPr>
        <w:t xml:space="preserve"> https://digital.gob.es/en/comunicacion/notas-prensa/mtdfp/2025/05/2025-05-06_02</w:t>
      </w:r>
    </w:p>
  </w:footnote>
  <w:footnote w:id="6">
    <w:p>
      <w:pPr>
        <w:pStyle w:val="FootnoteText"/>
        <w:spacing w:line="240" w:lineRule="auto" w:after="60"/>
        <w:ind w:left="360" w:hanging="180"/>
      </w:pPr>
      <w:r>
        <w:rPr>
          <w:sz w:val="16"/>
        </w:rPr>
        <w:footnoteRef/>
      </w:r>
      <w:r>
        <w:rPr>
          <w:sz w:val="18"/>
          <w:color w:val="404040"/>
        </w:rPr>
        <w:t xml:space="preserve"> https://eiposgrados.com/eng/cybersecurity-blog/cybersecurity-incidents-in-spain-2025-incibe-report/</w:t>
      </w:r>
    </w:p>
  </w:footnote>
  <w:footnote w:id="8">
    <w:p>
      <w:pPr>
        <w:pStyle w:val="FootnoteText"/>
        <w:spacing w:line="240" w:lineRule="auto" w:after="60"/>
        <w:ind w:left="360" w:hanging="180"/>
      </w:pPr>
      <w:r>
        <w:rPr>
          <w:sz w:val="16"/>
        </w:rPr>
        <w:footnoteRef/>
      </w:r>
      <w:r>
        <w:rPr>
          <w:sz w:val="18"/>
          <w:color w:val="404040"/>
        </w:rPr>
        <w:t xml:space="preserve"> https://www.incibe.es/en</w:t>
      </w:r>
    </w:p>
  </w:footnote>
  <w:footnote w:id="9">
    <w:p>
      <w:pPr>
        <w:pStyle w:val="FootnoteText"/>
        <w:spacing w:line="240" w:lineRule="auto" w:after="60"/>
        <w:ind w:left="360" w:hanging="180"/>
      </w:pPr>
      <w:r>
        <w:rPr>
          <w:sz w:val="16"/>
        </w:rPr>
        <w:footnoteRef/>
      </w:r>
      <w:r>
        <w:rPr>
          <w:sz w:val="18"/>
          <w:color w:val="404040"/>
        </w:rPr>
        <w:t xml:space="preserve"> https://kpmg.com/ch/en/insights/artificial-intelligence/iso-iec-42001.html</w:t>
      </w:r>
    </w:p>
  </w:footnote>
  <w:footnote w:id="1">
    <w:p>
      <w:pPr>
        <w:pStyle w:val="FootnoteText"/>
        <w:spacing w:line="240" w:lineRule="auto" w:after="60"/>
        <w:ind w:left="360" w:hanging="180"/>
      </w:pPr>
      <w:r>
        <w:rPr>
          <w:sz w:val="16"/>
        </w:rPr>
        <w:footnoteRef/>
      </w:r>
      <w:r>
        <w:rPr>
          <w:sz w:val="18"/>
          <w:color w:val="404040"/>
        </w:rPr>
        <w:t xml:space="preserve"> https://ai-watch.ec.europa.eu/countries/spain/spain-ai-strategy-report_en</w:t>
      </w:r>
    </w:p>
  </w:footnote>
  <w:footnote w:id="2">
    <w:p>
      <w:pPr>
        <w:pStyle w:val="FootnoteText"/>
        <w:spacing w:line="240" w:lineRule="auto" w:after="60"/>
        <w:ind w:left="360" w:hanging="180"/>
      </w:pPr>
      <w:r>
        <w:rPr>
          <w:sz w:val="16"/>
        </w:rPr>
        <w:footnoteRef/>
      </w:r>
      <w:r>
        <w:rPr>
          <w:sz w:val="18"/>
          <w:color w:val="404040"/>
        </w:rPr>
        <w:t xml:space="preserve"> https://portal.mineco.gob.es/RecursosArticulo/mineco/ministerio/ficheros/210204_Digital_Spain_2025.pdf</w:t>
      </w:r>
    </w:p>
  </w:footnote>
  <w:footnote w:id="15">
    <w:p>
      <w:pPr>
        <w:pStyle w:val="FootnoteText"/>
        <w:spacing w:line="240" w:lineRule="auto" w:after="60"/>
        <w:ind w:left="360" w:hanging="180"/>
      </w:pPr>
      <w:r>
        <w:rPr>
          <w:sz w:val="16"/>
        </w:rPr>
        <w:footnoteRef/>
      </w:r>
      <w:r>
        <w:rPr>
          <w:sz w:val="18"/>
          <w:color w:val="404040"/>
        </w:rPr>
        <w:t xml:space="preserve"> https://cloudsecurityalliance.org/blog/2025/05/08/iso-42001-lessons-learned-from-auditing-and-implementing-the-framework</w:t>
      </w:r>
    </w:p>
  </w:footnote>
  <w:footnote w:id="6">
    <w:p>
      <w:pPr>
        <w:pStyle w:val="FootnoteText"/>
        <w:spacing w:line="240" w:lineRule="auto" w:after="60"/>
        <w:ind w:left="360" w:hanging="180"/>
      </w:pPr>
      <w:r>
        <w:rPr>
          <w:sz w:val="16"/>
        </w:rPr>
        <w:footnoteRef/>
      </w:r>
      <w:r>
        <w:rPr>
          <w:sz w:val="18"/>
          <w:color w:val="404040"/>
        </w:rPr>
        <w:t xml:space="preserve"> https://eiposgrados.com/eng/cybersecurity-blog/cybersecurity-incidents-in-spain-2025-incibe-report/</w:t>
      </w:r>
    </w:p>
  </w:footnote>
  <w:footnote w:id="8">
    <w:p>
      <w:pPr>
        <w:pStyle w:val="FootnoteText"/>
        <w:spacing w:line="240" w:lineRule="auto" w:after="60"/>
        <w:ind w:left="360" w:hanging="180"/>
      </w:pPr>
      <w:r>
        <w:rPr>
          <w:sz w:val="16"/>
        </w:rPr>
        <w:footnoteRef/>
      </w:r>
      <w:r>
        <w:rPr>
          <w:sz w:val="18"/>
          <w:color w:val="404040"/>
        </w:rPr>
        <w:t xml:space="preserve"> https://www.incibe.es/en</w:t>
      </w:r>
    </w:p>
  </w:footnote>
  <w:footnote w:id="1">
    <w:p>
      <w:pPr>
        <w:pStyle w:val="FootnoteText"/>
        <w:spacing w:line="240" w:lineRule="auto" w:after="60"/>
        <w:ind w:left="360" w:hanging="180"/>
      </w:pPr>
      <w:r>
        <w:rPr>
          <w:sz w:val="16"/>
        </w:rPr>
        <w:footnoteRef/>
      </w:r>
      <w:r>
        <w:rPr>
          <w:sz w:val="18"/>
          <w:color w:val="404040"/>
        </w:rPr>
        <w:t xml:space="preserve"> https://ai-watch.ec.europa.eu/countries/spain/spain-ai-strategy-report_en</w:t>
      </w:r>
    </w:p>
  </w:footnote>
  <w:footnote w:id="3">
    <w:p>
      <w:pPr>
        <w:pStyle w:val="FootnoteText"/>
        <w:spacing w:line="240" w:lineRule="auto" w:after="60"/>
        <w:ind w:left="360" w:hanging="180"/>
      </w:pPr>
      <w:r>
        <w:rPr>
          <w:sz w:val="16"/>
        </w:rPr>
        <w:footnoteRef/>
      </w:r>
      <w:r>
        <w:rPr>
          <w:sz w:val="18"/>
          <w:color w:val="404040"/>
        </w:rPr>
        <w:t xml:space="preserve"> https://digital.gob.es/en/comunicacion/notas-prensa/mtdfp/2025/05/2025-05-06_02</w:t>
      </w:r>
    </w:p>
  </w:footnote>
  <w:footnote w:id="18">
    <w:p>
      <w:pPr>
        <w:pStyle w:val="FootnoteText"/>
        <w:spacing w:line="240" w:lineRule="auto" w:after="60"/>
        <w:ind w:left="360" w:hanging="180"/>
      </w:pPr>
      <w:r>
        <w:rPr>
          <w:sz w:val="16"/>
        </w:rPr>
        <w:footnoteRef/>
      </w:r>
      <w:r>
        <w:rPr>
          <w:sz w:val="18"/>
          <w:color w:val="404040"/>
        </w:rPr>
        <w:t xml:space="preserve"> https://www.scrut.io/post/ultimate-guide-to-iso-42001-2023</w:t>
      </w:r>
    </w:p>
  </w:footnote>
  <w:footnote w:id="22">
    <w:p>
      <w:pPr>
        <w:pStyle w:val="FootnoteText"/>
        <w:spacing w:line="240" w:lineRule="auto" w:after="60"/>
        <w:ind w:left="360" w:hanging="180"/>
      </w:pPr>
      <w:r>
        <w:rPr>
          <w:sz w:val="16"/>
        </w:rPr>
        <w:footnoteRef/>
      </w:r>
      <w:r>
        <w:rPr>
          <w:sz w:val="18"/>
          <w:color w:val="404040"/>
        </w:rPr>
        <w:t xml:space="preserve"> https://ecohumanism.co.uk/joe/ecohumanism/article/view/6985</w:t>
      </w:r>
    </w:p>
  </w:footnote>
  <w:footnote w:id="21">
    <w:p>
      <w:pPr>
        <w:pStyle w:val="FootnoteText"/>
        <w:spacing w:line="240" w:lineRule="auto" w:after="60"/>
        <w:ind w:left="360" w:hanging="180"/>
      </w:pPr>
      <w:r>
        <w:rPr>
          <w:sz w:val="16"/>
        </w:rPr>
        <w:footnoteRef/>
      </w:r>
      <w:r>
        <w:rPr>
          <w:sz w:val="18"/>
          <w:color w:val="404040"/>
        </w:rPr>
        <w:t xml:space="preserve"> https://www.schellman.com/blog/ai-services/ai-governance-and-iso-42001-faqs</w:t>
      </w:r>
    </w:p>
  </w:footnote>
  <w:footnote w:id="4">
    <w:p>
      <w:pPr>
        <w:pStyle w:val="FootnoteText"/>
        <w:spacing w:line="240" w:lineRule="auto" w:after="60"/>
        <w:ind w:left="360" w:hanging="180"/>
      </w:pPr>
      <w:r>
        <w:rPr>
          <w:sz w:val="16"/>
        </w:rPr>
        <w:footnoteRef/>
      </w:r>
      <w:r>
        <w:rPr>
          <w:sz w:val="18"/>
          <w:color w:val="404040"/>
        </w:rPr>
        <w:t xml:space="preserve"> https://www.iso.org/obp/ui/en/</w:t>
      </w:r>
    </w:p>
  </w:footnote>
  <w:footnote w:id="9">
    <w:p>
      <w:pPr>
        <w:pStyle w:val="FootnoteText"/>
        <w:spacing w:line="240" w:lineRule="auto" w:after="60"/>
        <w:ind w:left="360" w:hanging="180"/>
      </w:pPr>
      <w:r>
        <w:rPr>
          <w:sz w:val="16"/>
        </w:rPr>
        <w:footnoteRef/>
      </w:r>
      <w:r>
        <w:rPr>
          <w:sz w:val="18"/>
          <w:color w:val="404040"/>
        </w:rPr>
        <w:t xml:space="preserve"> https://kpmg.com/ch/en/insights/artificial-intelligence/iso-iec-42001.html</w:t>
      </w:r>
    </w:p>
  </w:footnote>
  <w:footnote w:id="18">
    <w:p>
      <w:pPr>
        <w:pStyle w:val="FootnoteText"/>
        <w:spacing w:line="240" w:lineRule="auto" w:after="60"/>
        <w:ind w:left="360" w:hanging="180"/>
      </w:pPr>
      <w:r>
        <w:rPr>
          <w:sz w:val="16"/>
        </w:rPr>
        <w:footnoteRef/>
      </w:r>
      <w:r>
        <w:rPr>
          <w:sz w:val="18"/>
          <w:color w:val="404040"/>
        </w:rPr>
        <w:t xml:space="preserve"> https://www.scrut.io/post/ultimate-guide-to-iso-42001-2023</w:t>
      </w:r>
    </w:p>
  </w:footnote>
  <w:footnote w:id="7">
    <w:p>
      <w:pPr>
        <w:pStyle w:val="FootnoteText"/>
        <w:spacing w:line="240" w:lineRule="auto" w:after="60"/>
        <w:ind w:left="360" w:hanging="180"/>
      </w:pPr>
      <w:r>
        <w:rPr>
          <w:sz w:val="16"/>
        </w:rPr>
        <w:footnoteRef/>
      </w:r>
      <w:r>
        <w:rPr>
          <w:sz w:val="18"/>
          <w:color w:val="404040"/>
        </w:rPr>
        <w:t xml:space="preserve"> https://www.schellman.com/blog/iso-certifications/what-are-iso-42001-requirements</w:t>
      </w:r>
    </w:p>
  </w:footnote>
  <w:footnote w:id="10">
    <w:p>
      <w:pPr>
        <w:pStyle w:val="FootnoteText"/>
        <w:spacing w:line="240" w:lineRule="auto" w:after="60"/>
        <w:ind w:left="360" w:hanging="180"/>
      </w:pPr>
      <w:r>
        <w:rPr>
          <w:sz w:val="16"/>
        </w:rPr>
        <w:footnoteRef/>
      </w:r>
      <w:r>
        <w:rPr>
          <w:sz w:val="18"/>
          <w:color w:val="404040"/>
        </w:rPr>
        <w:t xml:space="preserve"> https://www.surecloud.com/resource-hub/iso-42001-annex-a-controls</w:t>
      </w:r>
    </w:p>
  </w:footnote>
  <w:footnote w:id="5">
    <w:p>
      <w:pPr>
        <w:pStyle w:val="FootnoteText"/>
        <w:spacing w:line="240" w:lineRule="auto" w:after="60"/>
        <w:ind w:left="360" w:hanging="180"/>
      </w:pPr>
      <w:r>
        <w:rPr>
          <w:sz w:val="16"/>
        </w:rPr>
        <w:footnoteRef/>
      </w:r>
      <w:r>
        <w:rPr>
          <w:sz w:val="18"/>
          <w:color w:val="404040"/>
        </w:rPr>
        <w:t xml:space="preserve"> https://techjacksolutions.com/iso/42001/what-is-iso-42001-clause-9/</w:t>
      </w:r>
    </w:p>
  </w:footnote>
  <w:footnote w:id="15">
    <w:p>
      <w:pPr>
        <w:pStyle w:val="FootnoteText"/>
        <w:spacing w:line="240" w:lineRule="auto" w:after="60"/>
        <w:ind w:left="360" w:hanging="180"/>
      </w:pPr>
      <w:r>
        <w:rPr>
          <w:sz w:val="16"/>
        </w:rPr>
        <w:footnoteRef/>
      </w:r>
      <w:r>
        <w:rPr>
          <w:sz w:val="18"/>
          <w:color w:val="404040"/>
        </w:rPr>
        <w:t xml:space="preserve"> https://cloudsecurityalliance.org/blog/2025/05/08/iso-42001-lessons-learned-from-auditing-and-implementing-the-framework</w:t>
      </w:r>
    </w:p>
  </w:footnote>
  <w:footnote w:id="22">
    <w:p>
      <w:pPr>
        <w:pStyle w:val="FootnoteText"/>
        <w:spacing w:line="240" w:lineRule="auto" w:after="60"/>
        <w:ind w:left="360" w:hanging="180"/>
      </w:pPr>
      <w:r>
        <w:rPr>
          <w:sz w:val="16"/>
        </w:rPr>
        <w:footnoteRef/>
      </w:r>
      <w:r>
        <w:rPr>
          <w:sz w:val="18"/>
          <w:color w:val="404040"/>
        </w:rPr>
        <w:t xml:space="preserve"> https://ecohumanism.co.uk/joe/ecohumanism/article/view/6985</w:t>
      </w:r>
    </w:p>
  </w:footnote>
  <w:footnote w:id="8">
    <w:p>
      <w:pPr>
        <w:pStyle w:val="FootnoteText"/>
        <w:spacing w:line="240" w:lineRule="auto" w:after="60"/>
        <w:ind w:left="360" w:hanging="180"/>
      </w:pPr>
      <w:r>
        <w:rPr>
          <w:sz w:val="16"/>
        </w:rPr>
        <w:footnoteRef/>
      </w:r>
      <w:r>
        <w:rPr>
          <w:sz w:val="18"/>
          <w:color w:val="404040"/>
        </w:rPr>
        <w:t xml:space="preserve"> https://www.incibe.es/en</w:t>
      </w:r>
    </w:p>
  </w:footnote>
  <w:footnote w:id="1">
    <w:p>
      <w:pPr>
        <w:pStyle w:val="FootnoteText"/>
        <w:spacing w:line="240" w:lineRule="auto" w:after="60"/>
        <w:ind w:left="360" w:hanging="180"/>
      </w:pPr>
      <w:r>
        <w:rPr>
          <w:sz w:val="16"/>
        </w:rPr>
        <w:footnoteRef/>
      </w:r>
      <w:r>
        <w:rPr>
          <w:sz w:val="18"/>
          <w:color w:val="404040"/>
        </w:rPr>
        <w:t xml:space="preserve"> https://ai-watch.ec.europa.eu/countries/spain/spain-ai-strategy-report_en</w:t>
      </w:r>
    </w:p>
  </w:footnote>
  <w:footnote w:id="2">
    <w:p>
      <w:pPr>
        <w:pStyle w:val="FootnoteText"/>
        <w:spacing w:line="240" w:lineRule="auto" w:after="60"/>
        <w:ind w:left="360" w:hanging="180"/>
      </w:pPr>
      <w:r>
        <w:rPr>
          <w:sz w:val="16"/>
        </w:rPr>
        <w:footnoteRef/>
      </w:r>
      <w:r>
        <w:rPr>
          <w:sz w:val="18"/>
          <w:color w:val="404040"/>
        </w:rPr>
        <w:t xml:space="preserve"> https://portal.mineco.gob.es/RecursosArticulo/mineco/ministerio/ficheros/210204_Digital_Spain_2025.pdf</w:t>
      </w:r>
    </w:p>
  </w:footnote>
  <w:footnote w:id="3">
    <w:p>
      <w:pPr>
        <w:pStyle w:val="FootnoteText"/>
        <w:spacing w:line="240" w:lineRule="auto" w:after="60"/>
        <w:ind w:left="360" w:hanging="180"/>
      </w:pPr>
      <w:r>
        <w:rPr>
          <w:sz w:val="16"/>
        </w:rPr>
        <w:footnoteRef/>
      </w:r>
      <w:r>
        <w:rPr>
          <w:sz w:val="18"/>
          <w:color w:val="404040"/>
        </w:rPr>
        <w:t xml:space="preserve"> https://digital.gob.es/en/comunicacion/notas-prensa/mtdfp/2025/05/2025-05-06_02</w:t>
      </w:r>
    </w:p>
  </w:footnote>
  <w:footnote w:id="6">
    <w:p>
      <w:pPr>
        <w:pStyle w:val="FootnoteText"/>
        <w:spacing w:line="240" w:lineRule="auto" w:after="60"/>
        <w:ind w:left="360" w:hanging="180"/>
      </w:pPr>
      <w:r>
        <w:rPr>
          <w:sz w:val="16"/>
        </w:rPr>
        <w:footnoteRef/>
      </w:r>
      <w:r>
        <w:rPr>
          <w:sz w:val="18"/>
          <w:color w:val="404040"/>
        </w:rPr>
        <w:t xml:space="preserve"> https://eiposgrados.com/eng/cybersecurity-blog/cybersecurity-incidents-in-spain-2025-incibe-report/</w:t>
      </w:r>
    </w:p>
  </w:footnote>
  <w:footnote w:id="21">
    <w:p>
      <w:pPr>
        <w:pStyle w:val="FootnoteText"/>
        <w:spacing w:line="240" w:lineRule="auto" w:after="60"/>
        <w:ind w:left="360" w:hanging="180"/>
      </w:pPr>
      <w:r>
        <w:rPr>
          <w:sz w:val="16"/>
        </w:rPr>
        <w:footnoteRef/>
      </w:r>
      <w:r>
        <w:rPr>
          <w:sz w:val="18"/>
          <w:color w:val="404040"/>
        </w:rPr>
        <w:t xml:space="preserve"> https://www.schellman.com/blog/ai-services/ai-governance-and-iso-42001-faqs</w:t>
      </w:r>
    </w:p>
  </w:footnote>
  <w:footnote w:id="4">
    <w:p>
      <w:pPr>
        <w:pStyle w:val="FootnoteText"/>
        <w:spacing w:line="240" w:lineRule="auto" w:after="60"/>
        <w:ind w:left="360" w:hanging="180"/>
      </w:pPr>
      <w:r>
        <w:rPr>
          <w:sz w:val="16"/>
        </w:rPr>
        <w:footnoteRef/>
      </w:r>
      <w:r>
        <w:rPr>
          <w:sz w:val="18"/>
          <w:color w:val="404040"/>
        </w:rPr>
        <w:t xml:space="preserve"> https://www.iso.org/obp/ui/en/</w:t>
      </w:r>
    </w:p>
  </w:footnote>
  <w:footnote w:id="9">
    <w:p>
      <w:pPr>
        <w:pStyle w:val="FootnoteText"/>
        <w:spacing w:line="240" w:lineRule="auto" w:after="60"/>
        <w:ind w:left="360" w:hanging="180"/>
      </w:pPr>
      <w:r>
        <w:rPr>
          <w:sz w:val="16"/>
        </w:rPr>
        <w:footnoteRef/>
      </w:r>
      <w:r>
        <w:rPr>
          <w:sz w:val="18"/>
          <w:color w:val="404040"/>
        </w:rPr>
        <w:t xml:space="preserve"> https://kpmg.com/ch/en/insights/artificial-intelligence/iso-iec-42001.html</w:t>
      </w:r>
    </w:p>
  </w:footnote>
  <w:footnote w:id="22">
    <w:p>
      <w:pPr>
        <w:pStyle w:val="FootnoteText"/>
        <w:spacing w:line="240" w:lineRule="auto" w:after="60"/>
        <w:ind w:left="360" w:hanging="180"/>
      </w:pPr>
      <w:r>
        <w:rPr>
          <w:sz w:val="16"/>
        </w:rPr>
        <w:footnoteRef/>
      </w:r>
      <w:r>
        <w:rPr>
          <w:sz w:val="18"/>
          <w:color w:val="404040"/>
        </w:rPr>
        <w:t xml:space="preserve"> https://ecohumanism.co.uk/joe/ecohumanism/article/view/6985</w:t>
      </w:r>
    </w:p>
  </w:footnote>
  <w:footnote w:id="18">
    <w:p>
      <w:pPr>
        <w:pStyle w:val="FootnoteText"/>
        <w:spacing w:line="240" w:lineRule="auto" w:after="60"/>
        <w:ind w:left="360" w:hanging="180"/>
      </w:pPr>
      <w:r>
        <w:rPr>
          <w:sz w:val="16"/>
        </w:rPr>
        <w:footnoteRef/>
      </w:r>
      <w:r>
        <w:rPr>
          <w:sz w:val="18"/>
          <w:color w:val="404040"/>
        </w:rPr>
        <w:t xml:space="preserve"> https://www.scrut.io/post/ultimate-guide-to-iso-42001-2023</w:t>
      </w:r>
    </w:p>
  </w:footnote>
  <w:footnote w:id="7">
    <w:p>
      <w:pPr>
        <w:pStyle w:val="FootnoteText"/>
        <w:spacing w:line="240" w:lineRule="auto" w:after="60"/>
        <w:ind w:left="360" w:hanging="180"/>
      </w:pPr>
      <w:r>
        <w:rPr>
          <w:sz w:val="16"/>
        </w:rPr>
        <w:footnoteRef/>
      </w:r>
      <w:r>
        <w:rPr>
          <w:sz w:val="18"/>
          <w:color w:val="404040"/>
        </w:rPr>
        <w:t xml:space="preserve"> https://www.schellman.com/blog/iso-certifications/what-are-iso-42001-requirements</w:t>
      </w:r>
    </w:p>
  </w:footnote>
  <w:footnote w:id="19">
    <w:p>
      <w:pPr>
        <w:pStyle w:val="FootnoteText"/>
        <w:spacing w:line="240" w:lineRule="auto" w:after="60"/>
        <w:ind w:left="360" w:hanging="180"/>
      </w:pPr>
      <w:r>
        <w:rPr>
          <w:sz w:val="16"/>
        </w:rPr>
        <w:footnoteRef/>
      </w:r>
      <w:r>
        <w:rPr>
          <w:sz w:val="18"/>
          <w:color w:val="404040"/>
        </w:rPr>
        <w:t xml:space="preserve"> https://www.isms.online/iso-42001/annex-a-controls/</w:t>
      </w:r>
    </w:p>
  </w:footnote>
  <w:footnote w:id="10">
    <w:p>
      <w:pPr>
        <w:pStyle w:val="FootnoteText"/>
        <w:spacing w:line="240" w:lineRule="auto" w:after="60"/>
        <w:ind w:left="360" w:hanging="180"/>
      </w:pPr>
      <w:r>
        <w:rPr>
          <w:sz w:val="16"/>
        </w:rPr>
        <w:footnoteRef/>
      </w:r>
      <w:r>
        <w:rPr>
          <w:sz w:val="18"/>
          <w:color w:val="404040"/>
        </w:rPr>
        <w:t xml:space="preserve"> https://www.surecloud.com/resource-hub/iso-42001-annex-a-controls</w:t>
      </w:r>
    </w:p>
  </w:footnote>
  <w:footnote w:id="5">
    <w:p>
      <w:pPr>
        <w:pStyle w:val="FootnoteText"/>
        <w:spacing w:line="240" w:lineRule="auto" w:after="60"/>
        <w:ind w:left="360" w:hanging="180"/>
      </w:pPr>
      <w:r>
        <w:rPr>
          <w:sz w:val="16"/>
        </w:rPr>
        <w:footnoteRef/>
      </w:r>
      <w:r>
        <w:rPr>
          <w:sz w:val="18"/>
          <w:color w:val="404040"/>
        </w:rPr>
        <w:t xml:space="preserve"> https://techjacksolutions.com/iso/42001/what-is-iso-42001-clause-9/</w:t>
      </w:r>
    </w:p>
  </w:footnote>
  <w:footnote w:id="15">
    <w:p>
      <w:pPr>
        <w:pStyle w:val="FootnoteText"/>
        <w:spacing w:line="240" w:lineRule="auto" w:after="60"/>
        <w:ind w:left="360" w:hanging="180"/>
      </w:pPr>
      <w:r>
        <w:rPr>
          <w:sz w:val="16"/>
        </w:rPr>
        <w:footnoteRef/>
      </w:r>
      <w:r>
        <w:rPr>
          <w:sz w:val="18"/>
          <w:color w:val="404040"/>
        </w:rPr>
        <w:t xml:space="preserve"> https://cloudsecurityalliance.org/blog/2025/05/08/iso-42001-lessons-learned-from-auditing-and-implementing-the-framework</w:t>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drawing>
        <wp:inline xmlns:a="http://schemas.openxmlformats.org/drawingml/2006/main" xmlns:pic="http://schemas.openxmlformats.org/drawingml/2006/picture">
          <wp:extent cx="5943600" cy="310597"/>
          <wp:docPr id="1" name="Picture 1"/>
          <wp:cNvGraphicFramePr>
            <a:graphicFrameLocks noChangeAspect="1"/>
          </wp:cNvGraphicFramePr>
          <a:graphic>
            <a:graphicData uri="http://schemas.openxmlformats.org/drawingml/2006/picture">
              <pic:pic>
                <pic:nvPicPr>
                  <pic:cNvPr id="0" name="INCIBE+ULE.png"/>
                  <pic:cNvPicPr/>
                </pic:nvPicPr>
                <pic:blipFill>
                  <a:blip r:embed="rId1"/>
                  <a:stretch>
                    <a:fillRect/>
                  </a:stretch>
                </pic:blipFill>
                <pic:spPr>
                  <a:xfrm>
                    <a:off x="0" y="0"/>
                    <a:ext cx="5943600" cy="310597"/>
                  </a:xfrm>
                  <a:prstGeom prst="rect"/>
                </pic:spPr>
              </pic:pic>
            </a:graphicData>
          </a:graphic>
        </wp:inline>
      </w:drawing>
    </w:r>
  </w:p>
  <w:p>
    <w:pPr>
      <w:spacing w:after="120"/>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notes" Target="footnot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