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(e) Plantilla de Excel GQM + PRAGMATIC para cálculo de IGM y ROI (descripción)</w:t>
      </w:r>
    </w:p>
    <w:p>
      <w:pPr>
        <w:pStyle w:val="Heading2"/>
        <w:keepNext/>
        <w:keepLines/>
      </w:pPr>
      <w:r>
        <w:rPr>
          <w:color w:val="0066CC"/>
        </w:rPr>
        <w:t>1. Estructura recomendada del libro Excel</w:t>
      </w:r>
    </w:p>
    <w:p>
      <w:r>
        <w:t>Se propone un libro con las siguientes hojas:</w:t>
      </w:r>
    </w:p>
    <w:p>
      <w:pPr>
        <w:pStyle w:val="ListNumber"/>
        <w:keepLines w:val="1"/>
        <w:keepNext w:val="1"/>
        <w:widowControl w:val="1"/>
      </w:pPr>
      <w:r>
        <w:t>Objetivos_GQM: listado de objetivos, preguntas y métricas.</w:t>
      </w:r>
    </w:p>
    <w:p>
      <w:pPr>
        <w:pStyle w:val="ListNumber"/>
        <w:keepLines w:val="1"/>
        <w:keepNext w:val="1"/>
        <w:widowControl w:val="1"/>
      </w:pPr>
      <w:r>
        <w:t>Def_Metricas: ficha técnica y PRAGMATIC de cada métrica.</w:t>
      </w:r>
    </w:p>
    <w:p>
      <w:pPr>
        <w:pStyle w:val="ListNumber"/>
        <w:keepLines w:val="1"/>
        <w:keepNext w:val="1"/>
        <w:widowControl w:val="1"/>
      </w:pPr>
      <w:r>
        <w:t>Datos_Operacionales: captura periódica de datos brutos por organización/unidad.</w:t>
      </w:r>
    </w:p>
    <w:p>
      <w:pPr>
        <w:pStyle w:val="ListNumber"/>
        <w:keepLines w:val="1"/>
        <w:keepNext w:val="1"/>
        <w:widowControl w:val="1"/>
      </w:pPr>
      <w:r>
        <w:t>Calculos_IGM: agregación de métricas GQM en subíndices e IGM.</w:t>
      </w:r>
    </w:p>
    <w:p>
      <w:pPr>
        <w:pStyle w:val="ListNumber"/>
        <w:keepLines w:val="1"/>
        <w:keepNext w:val="1"/>
        <w:widowControl w:val="1"/>
      </w:pPr>
      <w:r>
        <w:t>Calculos_ROI: modelo de retorno de la inversión.</w:t>
      </w:r>
    </w:p>
    <w:p>
      <w:pPr>
        <w:pStyle w:val="ListNumber"/>
        <w:keepLines w:val="1"/>
        <w:widowControl w:val="1"/>
      </w:pPr>
      <w:r>
        <w:t>Dashboard_Ejecutivo: visualización integrada.</w:t>
      </w:r>
    </w:p>
    <w:p>
      <w:pPr>
        <w:pStyle w:val="Heading2"/>
        <w:keepNext/>
        <w:keepLines/>
      </w:pPr>
      <w:r>
        <w:rPr>
          <w:color w:val="0066CC"/>
        </w:rPr>
        <w:t>2. Hoja Objetivos_GQM</w:t>
      </w:r>
    </w:p>
    <w:p>
      <w:r>
        <w:t>Columnas sugeridas:</w:t>
      </w:r>
      <w:r/>
      <w:r>
        <w:br/>
        <w:t>- A: Código de objetivo (G1–G8).</w:t>
      </w:r>
      <w:r/>
      <w:r>
        <w:br/>
        <w:t>- B: Descripción del objetivo.</w:t>
      </w:r>
      <w:r/>
      <w:r>
        <w:br/>
        <w:t>- C: Código de pregunta (Q1.1, Q1.2, etc.).</w:t>
      </w:r>
      <w:r/>
      <w:r>
        <w:br/>
        <w:t>- D: Texto de la pregunta.</w:t>
      </w:r>
      <w:r/>
      <w:r>
        <w:br/>
        <w:t>- E: Código de métrica asociada (M1.1, M1.2, etc.).</w:t>
      </w:r>
      <w:r/>
      <w:r>
        <w:br/>
        <w:t>- F: Nombre de la métrica.</w:t>
      </w:r>
    </w:p>
    <w:p>
      <w:r>
        <w:t>Esta hoja permite asegurar trazabilidad: cualquier métrica usada en el IGM o en el ROI debe estar vinculada a objetivos explícitos.</w:t>
      </w:r>
    </w:p>
    <w:p>
      <w:pPr>
        <w:pStyle w:val="Heading2"/>
        <w:keepNext/>
        <w:keepLines/>
      </w:pPr>
      <w:r>
        <w:rPr>
          <w:color w:val="0066CC"/>
        </w:rPr>
        <w:t>3. Hoja Def_Metricas</w:t>
      </w:r>
    </w:p>
    <w:p>
      <w:r>
        <w:t>Columnas sugeridas:</w:t>
      </w:r>
      <w:r/>
      <w:r>
        <w:br/>
        <w:t>- A: Código de métrica (M1.1, M2.2, etc.).</w:t>
      </w:r>
      <w:r/>
      <w:r>
        <w:br/>
        <w:t>- B: Nombre corto.</w:t>
      </w:r>
      <w:r/>
      <w:r>
        <w:br/>
        <w:t>- C: Descripción.</w:t>
      </w:r>
      <w:r/>
      <w:r>
        <w:br/>
        <w:t>- D: Fórmula de cálculo.</w:t>
      </w:r>
      <w:r/>
      <w:r>
        <w:br/>
        <w:t>- E: Unidad (%, nº, días, €…).</w:t>
      </w:r>
      <w:r/>
      <w:r>
        <w:br/>
        <w:t>- F: Frecuencia (mensual, trimestral, anual).</w:t>
      </w:r>
      <w:r/>
      <w:r>
        <w:br/>
        <w:t>- G: Responsable de generación.</w:t>
      </w:r>
      <w:r/>
      <w:r>
        <w:br/>
        <w:t>- H: Fuentes de datos (SIEM, CMDB, HR, etc.).</w:t>
      </w:r>
      <w:r/>
      <w:r>
        <w:br/>
        <w:t>- I–Q: Puntuaciones PRAGMATIC (P, R, A, G, M, P2, T, I2, C).</w:t>
      </w:r>
      <w:r/>
      <w:r>
        <w:br/>
        <w:t>- R: Nota PRAGMATIC total (por ejemplo, suma o media de I–Q).</w:t>
      </w:r>
    </w:p>
    <w:p>
      <w:r>
        <w:t>Se recomienda establecer un umbral mínimo de calidad (p.ej. nota media ≥ 2) para que una métrica pueda entrar en el cuadro de mando ejecutivo.</w:t>
      </w:r>
    </w:p>
    <w:p>
      <w:pPr>
        <w:pStyle w:val="Heading2"/>
        <w:keepNext/>
        <w:keepLines/>
      </w:pPr>
      <w:r>
        <w:rPr>
          <w:color w:val="0066CC"/>
        </w:rPr>
        <w:t>4. Hoja Datos_Operacionales</w:t>
      </w:r>
    </w:p>
    <w:p>
      <w:r>
        <w:t>Filas:</w:t>
      </w:r>
      <w:r/>
      <w:r>
        <w:br/>
        <w:t>- Una fila por combinación (Organización/Unidad, Periodo).</w:t>
      </w:r>
    </w:p>
    <w:p>
      <w:r>
        <w:t>Columnas:</w:t>
      </w:r>
      <w:r/>
      <w:r>
        <w:br/>
        <w:t>- A: Identificador de organización/unidad.</w:t>
      </w:r>
      <w:r/>
      <w:r>
        <w:br/>
        <w:t>- B: Periodo (año, trimestre, mes).</w:t>
      </w:r>
      <w:r/>
      <w:r>
        <w:br/>
        <w:t>- C en adelante: columnas para cada métrica (M1.1, M1.2, …).</w:t>
      </w:r>
    </w:p>
    <w:p>
      <w:r>
        <w:t>Las fórmulas pueden extraer algunos valores automáticamente desde otras fuentes (vinculadas o importadas) o introducirse manualmente si no existe integración.</w:t>
      </w:r>
    </w:p>
    <w:p>
      <w:pPr>
        <w:pStyle w:val="Heading2"/>
        <w:keepNext/>
        <w:keepLines/>
      </w:pPr>
      <w:r>
        <w:rPr>
          <w:color w:val="0066CC"/>
        </w:rPr>
        <w:t>5. Hoja Calculos_IGM</w:t>
      </w:r>
    </w:p>
    <w:p>
      <w:pPr>
        <w:pStyle w:val="Heading3"/>
        <w:keepNext/>
        <w:keepLines/>
      </w:pPr>
      <w:r>
        <w:t>5.1. Agregación por objetivos y bloques</w:t>
      </w:r>
    </w:p>
    <w:p>
      <w:pPr>
        <w:pStyle w:val="ListBullet"/>
        <w:keepLines w:val="1"/>
        <w:keepNext w:val="1"/>
        <w:widowControl w:val="1"/>
      </w:pPr>
      <w:r>
        <w:t>Definir una tabla de asignación de métricas a bloques o dominios (Gobernanza, Riesgos, Datos, etc.).</w:t>
      </w:r>
    </w:p>
    <w:p>
      <w:pPr>
        <w:pStyle w:val="ListBullet"/>
        <w:keepLines w:val="1"/>
        <w:widowControl w:val="1"/>
      </w:pPr>
      <w:r>
        <w:t>Calcular para cada combinación (organización, periodo) la puntuación normalizada de cada métrica, si procede (por ejemplo, % expresados como 0–1).</w:t>
      </w:r>
    </w:p>
    <w:p>
      <w:pPr>
        <w:pStyle w:val="Heading3"/>
        <w:keepNext/>
        <w:keepLines/>
      </w:pPr>
      <w:r>
        <w:t>5.2. Cálculo de subíndices</w:t>
      </w:r>
    </w:p>
    <w:p>
      <w:r>
        <w:t>Para cada dominio, calcular un subíndice como media (simple o ponderada) de las métricas asignadas. La ponderación puede guiarse por la nota PRAGMATIC (más peso a las métricas de mayor calidad).</w:t>
      </w:r>
    </w:p>
    <w:p>
      <w:r>
        <w:t>Por ejemplo:</w:t>
      </w:r>
    </w:p>
    <w:p>
      <w:r>
        <w:rPr>
          <w:rFonts w:ascii="Courier New" w:hAnsi="Courier New"/>
          <w:sz w:val="18"/>
        </w:rPr>
        <w:t>Subindice_Riesgos = SUMAPRODUCTO(Puntuaciones_Metricas_Riesgo; Pesos_Metricas_Riesgo)</w:t>
      </w:r>
    </w:p>
    <w:p>
      <w:pPr>
        <w:pStyle w:val="Heading3"/>
        <w:keepNext/>
        <w:keepLines/>
      </w:pPr>
      <w:r>
        <w:t>5.3. Cálculo del IGM</w:t>
      </w:r>
    </w:p>
    <w:p>
      <w:r>
        <w:t>El IGM global se obtiene como media ponderada de los subíndices:</w:t>
      </w:r>
    </w:p>
    <w:p>
      <w:r>
        <w:rPr>
          <w:rFonts w:ascii="Courier New" w:hAnsi="Courier New"/>
          <w:sz w:val="18"/>
        </w:rPr>
        <w:t>IGM = 100 × SUMAPRODUCTO(Subindices; Pesos_Subindices)</w:t>
      </w:r>
    </w:p>
    <w:p>
      <w:r>
        <w:t>Donde los pesos pueden seguir la lógica de riesgo (más peso a incidentes, riesgos y monitorización) y adaptarse a regulaciones sectoriales.</w:t>
      </w:r>
    </w:p>
    <w:p>
      <w:pPr>
        <w:pStyle w:val="Heading2"/>
        <w:keepNext/>
        <w:keepLines/>
      </w:pPr>
      <w:r>
        <w:rPr>
          <w:color w:val="0066CC"/>
        </w:rPr>
        <w:t>6. Hoja Calculos_ROI</w:t>
      </w:r>
    </w:p>
    <w:p>
      <w:pPr>
        <w:pStyle w:val="Heading3"/>
        <w:keepNext/>
        <w:keepLines/>
      </w:pPr>
      <w:r>
        <w:t>6.1. Entradas</w:t>
      </w:r>
    </w:p>
    <w:p>
      <w:pPr>
        <w:pStyle w:val="ListBullet"/>
        <w:keepLines w:val="1"/>
        <w:keepNext w:val="1"/>
        <w:widowControl w:val="1"/>
      </w:pPr>
      <w:r>
        <w:t>Costes directos del AIMS y de controles de IA segura (personal, herramientas, consultoría, certificaciones).</w:t>
      </w:r>
    </w:p>
    <w:p>
      <w:pPr>
        <w:pStyle w:val="ListBullet"/>
        <w:keepLines w:val="1"/>
        <w:keepNext w:val="1"/>
        <w:widowControl w:val="1"/>
      </w:pPr>
      <w:r>
        <w:t>Métricas de incidentes (M3.1, M3.2, M6.2, M5.2), con historiales antes/después de las principales iniciativas.</w:t>
      </w:r>
    </w:p>
    <w:p>
      <w:pPr>
        <w:pStyle w:val="ListBullet"/>
        <w:keepLines w:val="1"/>
        <w:widowControl w:val="1"/>
      </w:pPr>
      <w:r>
        <w:t>Estimaciones de coste medio por incidente y por hora de interrupción/recuperación.</w:t>
      </w:r>
    </w:p>
    <w:p>
      <w:pPr>
        <w:pStyle w:val="Heading3"/>
        <w:keepNext/>
        <w:keepLines/>
      </w:pPr>
      <w:r>
        <w:t>6.2. Modelo de cálculo</w:t>
      </w:r>
    </w:p>
    <w:p>
      <w:pPr>
        <w:pStyle w:val="ListBullet"/>
        <w:keepLines w:val="1"/>
        <w:keepNext w:val="1"/>
        <w:widowControl w:val="1"/>
      </w:pPr>
      <w:r>
        <w:t>Estimar incidentes evitados o mitigados comparando escenarios (por ejemplo, número de incidentes antes y después de ciertas mejoras, corregido por volumen de actividad o exposición).</w:t>
      </w:r>
    </w:p>
    <w:p>
      <w:pPr>
        <w:pStyle w:val="ListBullet"/>
        <w:keepLines w:val="1"/>
        <w:widowControl w:val="1"/>
      </w:pPr>
      <w:r>
        <w:t>Traducir esas diferencias a euros usando el coste medio por incidente.</w:t>
      </w:r>
    </w:p>
    <w:p>
      <w:r>
        <w:t>Fórmula simplificada:</w:t>
      </w:r>
    </w:p>
    <w:p>
      <w:r>
        <w:rPr>
          <w:rFonts w:ascii="Courier New" w:hAnsi="Courier New"/>
          <w:sz w:val="18"/>
        </w:rPr>
        <w:t>Beneficio_Anual ≈ (Incidentes_Base – Incidentes_Actuales) × Coste_Medio_Incidente + Reduccion_Tiempo_Recuperacion × Coste_Hora_Interrupcion</w:t>
      </w:r>
    </w:p>
    <w:p>
      <w:r>
        <w:rPr>
          <w:rFonts w:ascii="Courier New" w:hAnsi="Courier New"/>
          <w:sz w:val="18"/>
        </w:rPr>
        <w:t>ROI = (Beneficio_Anual – Costes_Anuales_AIMS) / Costes_Anuales_AIMS</w:t>
      </w:r>
    </w:p>
    <w:p>
      <w:r>
        <w:t>Es prudente acompañar el cálculo con rangos (escenario conservador, medio, optimista) para reflejar la incertidumbre.</w:t>
      </w:r>
    </w:p>
    <w:p>
      <w:pPr>
        <w:pStyle w:val="Heading2"/>
        <w:keepNext/>
        <w:keepLines/>
      </w:pPr>
      <w:r>
        <w:rPr>
          <w:color w:val="0066CC"/>
        </w:rPr>
        <w:t>7. Hoja Dashboard_Ejecutivo</w:t>
      </w:r>
    </w:p>
    <w:p>
      <w:r>
        <w:t>Elementos recomendados:</w:t>
      </w:r>
    </w:p>
    <w:p>
      <w:pPr>
        <w:pStyle w:val="ListBullet"/>
        <w:keepLines w:val="1"/>
        <w:keepNext w:val="1"/>
        <w:widowControl w:val="1"/>
      </w:pPr>
      <w:r>
        <w:t>Gráfico de barras con IGM por organización/unidad y periodo.</w:t>
      </w:r>
    </w:p>
    <w:p>
      <w:pPr>
        <w:pStyle w:val="ListBullet"/>
        <w:keepLines w:val="1"/>
        <w:keepNext w:val="1"/>
        <w:widowControl w:val="1"/>
      </w:pPr>
      <w:r>
        <w:t>Gráfico radar con subíndices para la organización principal.</w:t>
      </w:r>
    </w:p>
    <w:p>
      <w:pPr>
        <w:pStyle w:val="ListBullet"/>
        <w:keepLines w:val="1"/>
        <w:keepNext w:val="1"/>
        <w:widowControl w:val="1"/>
      </w:pPr>
      <w:r>
        <w:t>Líneas de tendencia de métricas clave (M2.2 MTTR-IA, M3.2 MTTD/MTTC, M4.1 % modelos con detección de drift, M7.2 % personal formado).</w:t>
      </w:r>
    </w:p>
    <w:p>
      <w:pPr>
        <w:pStyle w:val="ListBullet"/>
        <w:keepLines w:val="1"/>
        <w:widowControl w:val="1"/>
      </w:pPr>
      <w:r>
        <w:t>Indicadores de ROI con escenarios.</w:t>
      </w:r>
    </w:p>
    <w:p>
      <w:r>
        <w:t>Los gráficos deben apoyarse en una narrativa que explique causalidades plausibles (“al incrementar la cobertura de monitorización, reducimos el tiempo de detección y observamos menor impacto medio por incidente”).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