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(e) Plantilla de Excel para cálculo de IGM y ROI (descripción)</w:t>
      </w:r>
    </w:p>
    <w:p>
      <w:pPr>
        <w:pStyle w:val="Heading2"/>
        <w:keepNext/>
        <w:keepLines/>
      </w:pPr>
      <w:r>
        <w:rPr>
          <w:color w:val="0066CC"/>
        </w:rPr>
        <w:t>1. Estructura general del fichero Excel</w:t>
      </w:r>
    </w:p>
    <w:p>
      <w:r>
        <w:t>Se recomienda un libro de Excel con al menos cinco hojas:</w:t>
      </w:r>
    </w:p>
    <w:p>
      <w:pPr>
        <w:pStyle w:val="ListNumber"/>
        <w:keepLines w:val="1"/>
        <w:keepNext w:val="1"/>
        <w:widowControl w:val="1"/>
      </w:pPr>
      <w:r>
        <w:t>Catalogo_Preguntas: listado de preguntas, bloques, códigos y pesos.</w:t>
      </w:r>
    </w:p>
    <w:p>
      <w:pPr>
        <w:pStyle w:val="ListNumber"/>
        <w:keepLines w:val="1"/>
        <w:keepNext w:val="1"/>
        <w:widowControl w:val="1"/>
      </w:pPr>
      <w:r>
        <w:t>Respuestas: registro de respuestas para cada organización (o unidad) encuestada.</w:t>
      </w:r>
    </w:p>
    <w:p>
      <w:pPr>
        <w:pStyle w:val="ListNumber"/>
        <w:keepLines w:val="1"/>
        <w:keepNext w:val="1"/>
        <w:widowControl w:val="1"/>
      </w:pPr>
      <w:r>
        <w:t>Calculos_IGM: procesamiento de respuestas y cálculo de índices.</w:t>
      </w:r>
    </w:p>
    <w:p>
      <w:pPr>
        <w:pStyle w:val="ListNumber"/>
        <w:keepLines w:val="1"/>
        <w:keepNext w:val="1"/>
        <w:widowControl w:val="1"/>
      </w:pPr>
      <w:r>
        <w:t>Calculos_ROI: consolidación de costes, beneficios e indicadores de incidentes.</w:t>
      </w:r>
    </w:p>
    <w:p>
      <w:pPr>
        <w:pStyle w:val="ListNumber"/>
        <w:keepLines w:val="1"/>
        <w:widowControl w:val="1"/>
      </w:pPr>
      <w:r>
        <w:t>Dashboard: visualización de resultados mediante tablas y gráficos.</w:t>
      </w:r>
    </w:p>
    <w:p>
      <w:pPr>
        <w:pStyle w:val="Heading2"/>
        <w:keepNext/>
        <w:keepLines/>
      </w:pPr>
      <w:r>
        <w:rPr>
          <w:color w:val="0066CC"/>
        </w:rPr>
        <w:t>2. Hoja Catalogo_Preguntas</w:t>
      </w:r>
    </w:p>
    <w:p>
      <w:r>
        <w:t>Columnas sugeridas:</w:t>
      </w:r>
      <w:r/>
      <w:r>
        <w:br/>
        <w:t>- A: Código de pregunta (ej. B2_1, B4_3, etc.).</w:t>
      </w:r>
      <w:r/>
      <w:r>
        <w:br/>
        <w:t>- B: Bloque (1–10).</w:t>
      </w:r>
      <w:r/>
      <w:r>
        <w:br/>
        <w:t>- C: Descripción corta de la pregunta.</w:t>
      </w:r>
      <w:r/>
      <w:r>
        <w:br/>
        <w:t>- D: Ponderación dentro del bloque (0–1), si se desea diferenciar preguntas.</w:t>
      </w:r>
      <w:r/>
      <w:r>
        <w:br/>
        <w:t>- E: Número de opciones de respuesta.</w:t>
      </w:r>
      <w:r/>
      <w:r>
        <w:br/>
        <w:t>- F–J: Texto de cada opción de respuesta (para referencia).</w:t>
      </w:r>
      <w:r/>
      <w:r>
        <w:br/>
        <w:t>- K–O: Valor numérico asignado a cada opción (0–3 o 0–4).</w:t>
      </w:r>
    </w:p>
    <w:p>
      <w:r>
        <w:t>Esta hoja sirve como diccionario central. El mantenimiento del catálogo aquí permite adaptar la encuesta sin reescribir fórmulas.</w:t>
      </w:r>
    </w:p>
    <w:p>
      <w:pPr>
        <w:pStyle w:val="Heading2"/>
        <w:keepNext/>
        <w:keepLines/>
      </w:pPr>
      <w:r>
        <w:rPr>
          <w:color w:val="0066CC"/>
        </w:rPr>
        <w:t>3. Hoja Respuestas</w:t>
      </w:r>
    </w:p>
    <w:p>
      <w:r>
        <w:t>Filas:</w:t>
      </w:r>
      <w:r/>
      <w:r>
        <w:br/>
        <w:t>- Una fila por organización o unidad evaluada.</w:t>
      </w:r>
    </w:p>
    <w:p>
      <w:r>
        <w:t>Columnas:</w:t>
      </w:r>
      <w:r/>
      <w:r>
        <w:br/>
        <w:t>- A: Identificador de la organización.</w:t>
      </w:r>
      <w:r/>
      <w:r>
        <w:br/>
        <w:t>- B: Sector.</w:t>
      </w:r>
      <w:r/>
      <w:r>
        <w:br/>
        <w:t>- C: Tamaño.</w:t>
      </w:r>
      <w:r/>
      <w:r>
        <w:br/>
        <w:t>- D: País.</w:t>
      </w:r>
      <w:r/>
      <w:r>
        <w:br/>
        <w:t xml:space="preserve">- E en adelante: Una columna por pregunta (mismo código que en </w:t>
      </w:r>
      <w:r>
        <w:rPr>
          <w:rFonts w:ascii="Courier New" w:hAnsi="Courier New"/>
          <w:sz w:val="18"/>
        </w:rPr>
        <w:t>Catalogo_Preguntas</w:t>
      </w:r>
      <w:r>
        <w:t>).</w:t>
      </w:r>
    </w:p>
    <w:p>
      <w:r>
        <w:t xml:space="preserve">Las celdas de respuestas pueden contener el número de opción elegida (1, 2, 3, 4, …) o directamente el valor numérico correspondiente, según se prefiera. Otra opción es usar validación de datos con listas desplegables basadas en las opciones de </w:t>
      </w:r>
      <w:r>
        <w:rPr>
          <w:rFonts w:ascii="Courier New" w:hAnsi="Courier New"/>
          <w:sz w:val="18"/>
        </w:rPr>
        <w:t>Catalogo_Preguntas</w:t>
      </w:r>
      <w:r>
        <w:t>.</w:t>
      </w:r>
    </w:p>
    <w:p>
      <w:pPr>
        <w:pStyle w:val="Heading2"/>
        <w:keepNext/>
        <w:keepLines/>
      </w:pPr>
      <w:r>
        <w:rPr>
          <w:color w:val="0066CC"/>
        </w:rPr>
        <w:t>4. Hoja Calculos_IGM</w:t>
      </w:r>
    </w:p>
    <w:p>
      <w:pPr>
        <w:pStyle w:val="Heading3"/>
        <w:keepNext/>
        <w:keepLines/>
      </w:pPr>
      <w:r>
        <w:t>4.1. Conversión de respuestas en puntuaciones</w:t>
      </w:r>
    </w:p>
    <w:p>
      <w:r>
        <w:t xml:space="preserve">Para cada celda de respuesta, se utiliza una fórmula de búsqueda (por ejemplo, BUSCARV o INDICE/COINCIDIR) que, a partir del código de pregunta y la opción escogida, obtiene el valor numérico definido en </w:t>
      </w:r>
      <w:r>
        <w:rPr>
          <w:rFonts w:ascii="Courier New" w:hAnsi="Courier New"/>
          <w:sz w:val="18"/>
        </w:rPr>
        <w:t>Catalogo_Preguntas</w:t>
      </w:r>
      <w:r>
        <w:t>.</w:t>
      </w:r>
    </w:p>
    <w:p>
      <w:r>
        <w:t>Se puede organizar la hoja de modo que:</w:t>
      </w:r>
      <w:r/>
      <w:r>
        <w:br/>
        <w:t>- Cada fila represente una organización.</w:t>
      </w:r>
      <w:r/>
      <w:r>
        <w:br/>
        <w:t>- Cada bloque tenga un rango dedicado donde se calculan las medias de sus preguntas.</w:t>
      </w:r>
    </w:p>
    <w:p>
      <w:pPr>
        <w:pStyle w:val="Heading3"/>
        <w:keepNext/>
        <w:keepLines/>
      </w:pPr>
      <w:r>
        <w:t>4.2. Cálculo de puntuación por bloque</w:t>
      </w:r>
    </w:p>
    <w:p>
      <w:r>
        <w:t>Para cada bloque:</w:t>
      </w:r>
      <w:r/>
      <w:r>
        <w:br/>
        <w:t>- Calcular la media simple o ponderada de las puntuaciones de sus preguntas.</w:t>
      </w:r>
      <w:r/>
      <w:r>
        <w:br/>
        <w:t>- Normalizarla a una escala de 0–1 dividiendo entre la puntuación máxima posible.</w:t>
      </w:r>
    </w:p>
    <w:p>
      <w:r>
        <w:t>Por ejemplo, si un bloque tiene preguntas con máximo 3 puntos, la puntuación normalizada del bloque será:</w:t>
      </w:r>
    </w:p>
    <w:p>
      <w:r>
        <w:rPr>
          <w:rFonts w:ascii="Courier New" w:hAnsi="Courier New"/>
          <w:sz w:val="18"/>
        </w:rPr>
        <w:t>Puntuacion_Bloque = (SUMA(Puntuaciones_Preguntas) / (Número_Preguntas × 3))</w:t>
      </w:r>
    </w:p>
    <w:p>
      <w:pPr>
        <w:pStyle w:val="Heading3"/>
        <w:keepNext/>
        <w:keepLines/>
      </w:pPr>
      <w:r>
        <w:t>4.3. Aplicación de pesos de bloque</w:t>
      </w:r>
    </w:p>
    <w:p>
      <w:r>
        <w:t>En una tabla aparte de la misma hoja, definir los pesos de cada bloque (suma total = 1). El IGM global se calcula como:</w:t>
      </w:r>
    </w:p>
    <w:p>
      <w:r>
        <w:rPr>
          <w:rFonts w:ascii="Courier New" w:hAnsi="Courier New"/>
          <w:sz w:val="18"/>
        </w:rPr>
        <w:t>IGM = 100 × SUMAPRODUCTO(Puntuaciones_Bloque_Normalizadas; Pesos_Bloque)</w:t>
      </w:r>
    </w:p>
    <w:p>
      <w:r>
        <w:t>Los subíndices se calculan de forma análoga, agrupando bloques (por ejemplo, Gobernanza = bloques 1–3, Monitorización = bloques 6–7, etc.).</w:t>
      </w:r>
    </w:p>
    <w:p>
      <w:pPr>
        <w:pStyle w:val="Heading2"/>
        <w:keepNext/>
        <w:keepLines/>
      </w:pPr>
      <w:r>
        <w:rPr>
          <w:color w:val="0066CC"/>
        </w:rPr>
        <w:t>5. Hoja Calculos_ROI</w:t>
      </w:r>
    </w:p>
    <w:p>
      <w:pPr>
        <w:pStyle w:val="Heading3"/>
        <w:keepNext/>
        <w:keepLines/>
      </w:pPr>
      <w:r>
        <w:t>5.1. Entradas de costes</w:t>
      </w:r>
    </w:p>
    <w:p>
      <w:r>
        <w:t>Columnas de ejemplo:</w:t>
      </w:r>
      <w:r/>
      <w:r>
        <w:br/>
        <w:t>- Costes de personal dedicados al AIMS.</w:t>
      </w:r>
      <w:r/>
      <w:r>
        <w:br/>
        <w:t>- Costes de herramientas (monitorización, pruebas de seguridad, automatización).</w:t>
      </w:r>
      <w:r/>
      <w:r>
        <w:br/>
        <w:t>- Costes de consultoría, certificación y auditoría.</w:t>
      </w:r>
      <w:r/>
      <w:r>
        <w:br/>
        <w:t>- Costes de formación y sensibilización.</w:t>
      </w:r>
    </w:p>
    <w:p>
      <w:pPr>
        <w:pStyle w:val="Heading3"/>
        <w:keepNext/>
        <w:keepLines/>
      </w:pPr>
      <w:r>
        <w:t>5.2. Entradas de beneficios</w:t>
      </w:r>
    </w:p>
    <w:p>
      <w:r>
        <w:t>Columnas de ejemplo:</w:t>
      </w:r>
      <w:r/>
      <w:r>
        <w:br/>
        <w:t>- Número de incidentes de IA antes de la implantación (periodo base).</w:t>
      </w:r>
      <w:r/>
      <w:r>
        <w:br/>
        <w:t>- Número de incidentes de IA después de la implantación.</w:t>
      </w:r>
      <w:r/>
      <w:r>
        <w:br/>
        <w:t>- Coste medio estimado por incidente.</w:t>
      </w:r>
      <w:r/>
      <w:r>
        <w:br/>
        <w:t>- Reducción en tiempos de respuesta y recuperación.</w:t>
      </w:r>
      <w:r/>
      <w:r>
        <w:br/>
        <w:t>- Costes evitados por sanciones o litigios no producidos (estimados).</w:t>
      </w:r>
    </w:p>
    <w:p>
      <w:pPr>
        <w:pStyle w:val="Heading3"/>
        <w:keepNext/>
        <w:keepLines/>
      </w:pPr>
      <w:r>
        <w:t>5.3. Cálculo de beneficios netos</w:t>
      </w:r>
    </w:p>
    <w:p>
      <w:r>
        <w:t>Se puede estimar un “beneficio anual atribuible al AIMS” como:</w:t>
      </w:r>
    </w:p>
    <w:p>
      <w:r>
        <w:rPr>
          <w:rFonts w:ascii="Courier New" w:hAnsi="Courier New"/>
          <w:sz w:val="18"/>
        </w:rPr>
        <w:t>Beneficio = (Incidentes_Base – Incidentes_Actuales) × Coste_Medio_Incidente + Otros_Beneficios_Cuantificados</w:t>
      </w:r>
    </w:p>
    <w:p>
      <w:r>
        <w:t>El ROI se obtiene con la fórmula:</w:t>
      </w:r>
    </w:p>
    <w:p>
      <w:r>
        <w:rPr>
          <w:rFonts w:ascii="Courier New" w:hAnsi="Courier New"/>
          <w:sz w:val="18"/>
        </w:rPr>
        <w:t>ROI = (Beneficio – Costes_Anuales_AIMS) / Costes_Anuales_AIMS</w:t>
      </w:r>
    </w:p>
    <w:p>
      <w:r>
        <w:t>Se recomienda representar también el ROI acumulado a varios años, especialmente cuando los costes de implantación inicial son significativos.</w:t>
      </w:r>
    </w:p>
    <w:p>
      <w:pPr>
        <w:pStyle w:val="Heading2"/>
        <w:keepNext/>
        <w:keepLines/>
      </w:pPr>
      <w:r>
        <w:rPr>
          <w:color w:val="0066CC"/>
        </w:rPr>
        <w:t>6. Hoja Dashboard</w:t>
      </w:r>
    </w:p>
    <w:p>
      <w:r>
        <w:t>Incluir gráficos y tablas tales como:</w:t>
      </w:r>
      <w:r/>
      <w:r>
        <w:br/>
        <w:t>- Gráfico de barras con IGM por organización o unidad.</w:t>
      </w:r>
      <w:r/>
      <w:r>
        <w:br/>
        <w:t>- Gráfico radar con subíndices por bloque.</w:t>
      </w:r>
      <w:r/>
      <w:r>
        <w:br/>
        <w:t>- Serie temporal de IGM si se repite la encuesta.</w:t>
      </w:r>
      <w:r/>
      <w:r>
        <w:br/>
        <w:t>- Gráfico de dispersión entre IGM y número de incidentes.</w:t>
      </w:r>
      <w:r/>
      <w:r>
        <w:br/>
        <w:t>- Indicadores clave (IGM global, ROI estimado, bloques más débiles).</w:t>
      </w:r>
    </w:p>
    <w:p>
      <w:r>
        <w:t>El objetivo es que el comité de riesgos o el consejo de administración pueda captar en una sola diapositiva dónde se está bien, dónde se está mal y cuánto cuesta mejorar.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