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(descripción en Markdown)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"Estado de Madurez en ISO/IEC 42001 y Ciberseguridad de IA".</w:t>
      </w:r>
    </w:p>
    <w:p>
      <w:pPr>
        <w:pStyle w:val="ListBullet"/>
        <w:keepLines w:val="1"/>
        <w:keepNext w:val="1"/>
        <w:widowControl w:val="1"/>
      </w:pPr>
      <w:r>
        <w:t>Subtítulo: Nombre de la organización, fecha, área responsable.</w:t>
      </w:r>
    </w:p>
    <w:p>
      <w:pPr>
        <w:pStyle w:val="ListBullet"/>
        <w:keepLines w:val="1"/>
        <w:widowControl w:val="1"/>
      </w:pPr>
      <w:r>
        <w:t>Pie de página: Confidencialidad y alcance del informe.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Mensajes clave sobre el IGM global, principales fortalezas y debilidades.</w:t>
      </w:r>
    </w:p>
    <w:p>
      <w:pPr>
        <w:pStyle w:val="ListBullet"/>
        <w:keepLines w:val="1"/>
        <w:widowControl w:val="1"/>
      </w:pPr>
      <w:r>
        <w:t>Una frase clara sobre el nivel de riesgo actual y la trayectoria (mejora, estancamiento, deterioro).</w:t>
      </w:r>
    </w:p>
    <w:p>
      <w:pPr>
        <w:pStyle w:val="Heading2"/>
        <w:keepNext/>
        <w:keepLines/>
      </w:pPr>
      <w:r>
        <w:rPr>
          <w:color w:val="0066CC"/>
        </w:rPr>
        <w:t>Diapositiva 3 – Contexto y objetivo</w:t>
      </w:r>
    </w:p>
    <w:p>
      <w:pPr>
        <w:pStyle w:val="ListBullet"/>
        <w:keepLines w:val="1"/>
        <w:keepNext w:val="1"/>
        <w:widowControl w:val="1"/>
      </w:pPr>
      <w:r>
        <w:t>Breve recordatorio de qué es ISO/IEC 42001 y por qué importa para la ciberseguridad de IA.</w:t>
      </w:r>
    </w:p>
    <w:p>
      <w:pPr>
        <w:pStyle w:val="ListBullet"/>
        <w:keepLines w:val="1"/>
        <w:widowControl w:val="1"/>
      </w:pPr>
      <w:r>
        <w:t>Objetivo de la encuesta: medir madurez, identificar brechas, priorizar acciones.</w:t>
      </w:r>
    </w:p>
    <w:p>
      <w:pPr>
        <w:pStyle w:val="Heading2"/>
        <w:keepNext/>
        <w:keepLines/>
      </w:pPr>
      <w:r>
        <w:rPr>
          <w:color w:val="0066CC"/>
        </w:rPr>
        <w:t>Diapositiva 4 – Metodología</w:t>
      </w:r>
    </w:p>
    <w:p>
      <w:pPr>
        <w:pStyle w:val="ListBullet"/>
        <w:keepLines w:val="1"/>
        <w:keepNext w:val="1"/>
        <w:widowControl w:val="1"/>
      </w:pPr>
      <w:r>
        <w:t>Población participante (unidades, países, áreas).</w:t>
      </w:r>
    </w:p>
    <w:p>
      <w:pPr>
        <w:pStyle w:val="ListBullet"/>
        <w:keepLines w:val="1"/>
        <w:keepNext w:val="1"/>
        <w:widowControl w:val="1"/>
      </w:pPr>
      <w:r>
        <w:t>Número de preguntas y bloques temáticos.</w:t>
      </w:r>
    </w:p>
    <w:p>
      <w:pPr>
        <w:pStyle w:val="ListBullet"/>
        <w:keepLines w:val="1"/>
        <w:widowControl w:val="1"/>
      </w:pPr>
      <w:r>
        <w:t>Escalas de respuesta y fórmula de IGM.</w:t>
      </w:r>
    </w:p>
    <w:p>
      <w:pPr>
        <w:pStyle w:val="Heading2"/>
        <w:keepNext/>
        <w:keepLines/>
      </w:pPr>
      <w:r>
        <w:rPr>
          <w:color w:val="0066CC"/>
        </w:rPr>
        <w:t>Diapositiva 5 – IGM global</w:t>
      </w:r>
    </w:p>
    <w:p>
      <w:pPr>
        <w:pStyle w:val="ListBullet"/>
        <w:keepLines w:val="1"/>
        <w:keepNext w:val="1"/>
        <w:widowControl w:val="1"/>
      </w:pPr>
      <w:r>
        <w:t>Gráfico de indicador (gauge) o barra mostrando el IGM en escala 0–100.</w:t>
      </w:r>
    </w:p>
    <w:p>
      <w:pPr>
        <w:pStyle w:val="ListBullet"/>
        <w:keepLines w:val="1"/>
        <w:widowControl w:val="1"/>
      </w:pPr>
      <w:r>
        <w:t>Segmentos coloreados para niveles (muy bajo, bajo, medio, alto).</w:t>
      </w:r>
    </w:p>
    <w:p>
      <w:pPr>
        <w:pStyle w:val="Heading2"/>
        <w:keepNext/>
        <w:keepLines/>
      </w:pPr>
      <w:r>
        <w:rPr>
          <w:color w:val="0066CC"/>
        </w:rPr>
        <w:t>Diapositiva 6 – Subíndices por dominio</w:t>
      </w:r>
    </w:p>
    <w:p>
      <w:pPr>
        <w:pStyle w:val="ListBullet"/>
        <w:keepLines w:val="1"/>
        <w:keepNext w:val="1"/>
        <w:widowControl w:val="1"/>
      </w:pPr>
      <w:r>
        <w:t>Gráfico radar o barras agrupadas con subíndices (Gobernanza, Riesgos, Datos, Ciclo de vida, Monitorización, Incidentes, Terceros, Cultura).</w:t>
      </w:r>
    </w:p>
    <w:p>
      <w:pPr>
        <w:pStyle w:val="ListBullet"/>
        <w:keepLines w:val="1"/>
        <w:widowControl w:val="1"/>
      </w:pPr>
      <w:r>
        <w:t>Comentarios breves por dominio (1–2 ideas clave).</w:t>
      </w:r>
    </w:p>
    <w:p>
      <w:pPr>
        <w:pStyle w:val="Heading2"/>
        <w:keepNext/>
        <w:keepLines/>
      </w:pPr>
      <w:r>
        <w:rPr>
          <w:color w:val="0066CC"/>
        </w:rPr>
        <w:t>Diapositiva 7 – Detalle por bloques</w:t>
      </w:r>
    </w:p>
    <w:p>
      <w:pPr>
        <w:pStyle w:val="ListBullet"/>
        <w:keepLines w:val="1"/>
        <w:keepNext w:val="1"/>
        <w:widowControl w:val="1"/>
      </w:pPr>
      <w:r>
        <w:t>Tabla o gráfico resumido con puntuación de cada bloque (2–10).</w:t>
      </w:r>
    </w:p>
    <w:p>
      <w:pPr>
        <w:pStyle w:val="ListBullet"/>
        <w:keepLines w:val="1"/>
        <w:widowControl w:val="1"/>
      </w:pPr>
      <w:r>
        <w:t>Resaltado de los bloques con peor puntuación y de los que más han mejorado respecto a la medición anterior (si aplica).</w:t>
      </w:r>
    </w:p>
    <w:p>
      <w:pPr>
        <w:pStyle w:val="Heading2"/>
        <w:keepNext/>
        <w:keepLines/>
      </w:pPr>
      <w:r>
        <w:rPr>
          <w:color w:val="0066CC"/>
        </w:rPr>
        <w:t>Diapositiva 8 – Riesgos e incidentes</w:t>
      </w:r>
    </w:p>
    <w:p>
      <w:pPr>
        <w:pStyle w:val="ListBullet"/>
        <w:keepLines w:val="1"/>
        <w:keepNext w:val="1"/>
        <w:widowControl w:val="1"/>
      </w:pPr>
      <w:r>
        <w:t>Gráfico que relacione IGM con número/gravedad de incidentes de IA.</w:t>
      </w:r>
    </w:p>
    <w:p>
      <w:pPr>
        <w:pStyle w:val="ListBullet"/>
        <w:keepLines w:val="1"/>
        <w:widowControl w:val="1"/>
      </w:pPr>
      <w:r>
        <w:t>Mensaje sobre correlaciones observadas (ej. baja monitorización asociada a más incidentes no detectados).</w:t>
      </w:r>
    </w:p>
    <w:p>
      <w:pPr>
        <w:pStyle w:val="Heading2"/>
        <w:keepNext/>
        <w:keepLines/>
      </w:pPr>
      <w:r>
        <w:rPr>
          <w:color w:val="0066CC"/>
        </w:rPr>
        <w:t>Diapositiva 9 – ROI estimado de la gestión de IA segura</w:t>
      </w:r>
    </w:p>
    <w:p>
      <w:pPr>
        <w:pStyle w:val="ListBullet"/>
        <w:keepLines w:val="1"/>
        <w:keepNext w:val="1"/>
        <w:widowControl w:val="1"/>
      </w:pPr>
      <w:r>
        <w:t>Resumen de costes anuales del AIMS.</w:t>
      </w:r>
    </w:p>
    <w:p>
      <w:pPr>
        <w:pStyle w:val="ListBullet"/>
        <w:keepLines w:val="1"/>
        <w:keepNext w:val="1"/>
        <w:widowControl w:val="1"/>
      </w:pPr>
      <w:r>
        <w:t>Estimación de beneficios (incidentes evitados, tiempo ahorrado, sanciones no incurridas).</w:t>
      </w:r>
    </w:p>
    <w:p>
      <w:pPr>
        <w:pStyle w:val="ListBullet"/>
        <w:keepLines w:val="1"/>
        <w:widowControl w:val="1"/>
      </w:pPr>
      <w:r>
        <w:t>Cálculo de ROI con interpretación cualitativa.</w:t>
      </w:r>
    </w:p>
    <w:p>
      <w:pPr>
        <w:pStyle w:val="Heading2"/>
        <w:keepNext/>
        <w:keepLines/>
      </w:pPr>
      <w:r>
        <w:rPr>
          <w:color w:val="0066CC"/>
        </w:rPr>
        <w:t>Diapositiva 10 – Priorización de acciones</w:t>
      </w:r>
    </w:p>
    <w:p>
      <w:pPr>
        <w:pStyle w:val="ListBullet"/>
        <w:keepLines w:val="1"/>
        <w:keepNext w:val="1"/>
        <w:widowControl w:val="1"/>
      </w:pPr>
      <w:r>
        <w:t>Lista breve de 5–7 acciones prioritarias con impacto alto y esfuerzo razonable.</w:t>
      </w:r>
    </w:p>
    <w:p>
      <w:pPr>
        <w:pStyle w:val="ListBullet"/>
        <w:keepLines w:val="1"/>
        <w:widowControl w:val="1"/>
      </w:pPr>
      <w:r>
        <w:t>Separación entre medidas "rápidas" (quick wins) y proyectos estructurales.</w:t>
      </w:r>
    </w:p>
    <w:p>
      <w:pPr>
        <w:pStyle w:val="Heading2"/>
        <w:keepNext/>
        <w:keepLines/>
      </w:pPr>
      <w:r>
        <w:rPr>
          <w:color w:val="0066CC"/>
        </w:rPr>
        <w:t>Diapositiva 11 – Hoja de ruta de mejora</w:t>
      </w:r>
    </w:p>
    <w:p>
      <w:pPr>
        <w:pStyle w:val="ListBullet"/>
        <w:keepLines w:val="1"/>
        <w:widowControl w:val="1"/>
      </w:pPr>
      <w:r>
        <w:t>Línea de tiempo (12–24 meses) con hitos principales: revisión de gobernanza, refuerzo de telemetría, ejercicios de incidentes, proyecto de certificación ISO/IEC 42001, etc.</w:t>
      </w:r>
    </w:p>
    <w:p>
      <w:pPr>
        <w:pStyle w:val="Heading2"/>
        <w:keepNext/>
        <w:keepLines/>
      </w:pPr>
      <w:r>
        <w:rPr>
          <w:color w:val="0066CC"/>
        </w:rPr>
        <w:t>Diapositiva 12 – Conclusiones y próximos pasos</w:t>
      </w:r>
    </w:p>
    <w:p>
      <w:pPr>
        <w:pStyle w:val="ListBullet"/>
        <w:keepLines w:val="1"/>
        <w:keepNext w:val="1"/>
        <w:widowControl w:val="1"/>
      </w:pPr>
      <w:r>
        <w:t>Síntesis del mensaje general.</w:t>
      </w:r>
    </w:p>
    <w:p>
      <w:pPr>
        <w:pStyle w:val="ListBullet"/>
        <w:keepLines w:val="1"/>
        <w:widowControl w:val="1"/>
      </w:pPr>
      <w:r>
        <w:t>Propuesta de próximos pasos: profundizar en auditoría, proyectos piloto, decisiones de inversión.</w:t>
      </w:r>
    </w:p>
    <w:p>
      <w:pPr>
        <w:pStyle w:val="Heading2"/>
        <w:keepNext/>
        <w:keepLines/>
      </w:pPr>
      <w:r>
        <w:rPr>
          <w:color w:val="0066CC"/>
        </w:rPr>
        <w:t>Diapositiva 13 – Anexos (opcional)</w:t>
      </w:r>
    </w:p>
    <w:p>
      <w:pPr>
        <w:pStyle w:val="ListBullet"/>
        <w:keepLines w:val="1"/>
        <w:keepNext w:val="1"/>
        <w:widowControl w:val="1"/>
      </w:pPr>
      <w:r>
        <w:t>Detalles metodológicos.</w:t>
      </w:r>
    </w:p>
    <w:p>
      <w:pPr>
        <w:pStyle w:val="ListBullet"/>
        <w:keepLines w:val="1"/>
        <w:keepNext w:val="1"/>
        <w:widowControl w:val="1"/>
      </w:pPr>
      <w:r>
        <w:t>Glosario de términos de IA y ciberseguridad.</w:t>
      </w:r>
    </w:p>
    <w:p>
      <w:pPr>
        <w:pStyle w:val="ListBullet"/>
        <w:keepLines w:val="1"/>
        <w:widowControl w:val="1"/>
      </w:pPr>
      <w:r>
        <w:t>Referencias normativas relevantes.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