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(f) Plantilla de Reporte Ejecutivo GQM + PRAGMATIC en PowerPoint (descripción en Markdown)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>Título: "Indicadores de Ciberseguridad de IA: GQM + PRAGMATIC".</w:t>
      </w:r>
    </w:p>
    <w:p>
      <w:pPr>
        <w:pStyle w:val="ListBullet"/>
        <w:keepLines w:val="1"/>
        <w:keepNext w:val="1"/>
        <w:widowControl w:val="1"/>
      </w:pPr>
      <w:r>
        <w:t>Subtítulo: Organización / Ámbito, fecha, responsable.</w:t>
      </w:r>
    </w:p>
    <w:p>
      <w:pPr>
        <w:pStyle w:val="ListBullet"/>
        <w:keepLines w:val="1"/>
        <w:widowControl w:val="1"/>
      </w:pPr>
      <w:r>
        <w:t>Nota de confidencialidad.</w:t>
      </w:r>
    </w:p>
    <w:p>
      <w:pPr>
        <w:pStyle w:val="Heading2"/>
        <w:keepNext/>
        <w:keepLines/>
      </w:pPr>
      <w:r>
        <w:rPr>
          <w:color w:val="0066CC"/>
        </w:rPr>
        <w:t>Diapositiva 2 – Por qué este marco</w:t>
      </w:r>
    </w:p>
    <w:p>
      <w:pPr>
        <w:pStyle w:val="ListBullet"/>
        <w:keepLines w:val="1"/>
        <w:keepNext w:val="1"/>
        <w:widowControl w:val="1"/>
      </w:pPr>
      <w:r>
        <w:t>Breve explicación de GQM y PRAGMATIC.</w:t>
      </w:r>
    </w:p>
    <w:p>
      <w:pPr>
        <w:pStyle w:val="ListBullet"/>
        <w:keepLines w:val="1"/>
        <w:widowControl w:val="1"/>
      </w:pPr>
      <w:r>
        <w:t>Motivo: conectar objetivos nacionales/corporativos con datos técnicos, evitando métricas ornamentales.</w:t>
      </w:r>
    </w:p>
    <w:p>
      <w:pPr>
        <w:pStyle w:val="Heading2"/>
        <w:keepNext/>
        <w:keepLines/>
      </w:pPr>
      <w:r>
        <w:rPr>
          <w:color w:val="0066CC"/>
        </w:rPr>
        <w:t>Diapositiva 3 – Objetivos de IA segura (G)</w:t>
      </w:r>
    </w:p>
    <w:p>
      <w:pPr>
        <w:pStyle w:val="ListBullet"/>
        <w:keepLines w:val="1"/>
        <w:keepNext w:val="1"/>
        <w:widowControl w:val="1"/>
      </w:pPr>
      <w:r>
        <w:t>Lista sintética de objetivos G1–G8 (superficie de exposición, vulnerabilidades, incidentes, deriva, datos, terceros, cultura, IGM/ROI).</w:t>
      </w:r>
    </w:p>
    <w:p>
      <w:pPr>
        <w:pStyle w:val="ListBullet"/>
        <w:keepLines w:val="1"/>
        <w:widowControl w:val="1"/>
      </w:pPr>
      <w:r>
        <w:t>Relación con estrategias nacionales (ENIA, España Digital, ENS, AI Act) y con ISO/IEC 42001.</w:t>
      </w:r>
    </w:p>
    <w:p>
      <w:pPr>
        <w:pStyle w:val="Heading2"/>
        <w:keepNext/>
        <w:keepLines/>
      </w:pPr>
      <w:r>
        <w:rPr>
          <w:color w:val="0066CC"/>
        </w:rPr>
        <w:t>Diapositiva 4 – De las preguntas a las métricas (Q y M)</w:t>
      </w:r>
    </w:p>
    <w:p>
      <w:pPr>
        <w:pStyle w:val="ListBullet"/>
        <w:keepLines w:val="1"/>
        <w:keepNext w:val="1"/>
        <w:widowControl w:val="1"/>
      </w:pPr>
      <w:r>
        <w:t>Esquema GQM: ejemplo de un objetivo con sus preguntas y métricas.</w:t>
      </w:r>
    </w:p>
    <w:p>
      <w:pPr>
        <w:pStyle w:val="ListBullet"/>
        <w:keepLines w:val="1"/>
        <w:widowControl w:val="1"/>
      </w:pPr>
      <w:r>
        <w:t>Mensaje clave: "cada métrica responde a una pregunta; cada pregunta apoya un objetivo".</w:t>
      </w:r>
    </w:p>
    <w:p>
      <w:pPr>
        <w:pStyle w:val="Heading2"/>
        <w:keepNext/>
        <w:keepLines/>
      </w:pPr>
      <w:r>
        <w:rPr>
          <w:color w:val="0066CC"/>
        </w:rPr>
        <w:t>Diapositiva 5 – Matriz PRAGMATIC (visión general)</w:t>
      </w:r>
    </w:p>
    <w:p>
      <w:pPr>
        <w:pStyle w:val="ListBullet"/>
        <w:keepLines w:val="1"/>
        <w:keepNext w:val="1"/>
        <w:widowControl w:val="1"/>
      </w:pPr>
      <w:r>
        <w:t>Tabla resumida con 4–6 métricas principales y su nota PRAGMATIC media.</w:t>
      </w:r>
    </w:p>
    <w:p>
      <w:pPr>
        <w:pStyle w:val="ListBullet"/>
        <w:keepLines w:val="1"/>
        <w:widowControl w:val="1"/>
      </w:pPr>
      <w:r>
        <w:t>Destacar métricas de alta calidad y métricas en fase experimental.</w:t>
      </w:r>
    </w:p>
    <w:p>
      <w:pPr>
        <w:pStyle w:val="Heading2"/>
        <w:keepNext/>
        <w:keepLines/>
      </w:pPr>
      <w:r>
        <w:rPr>
          <w:color w:val="0066CC"/>
        </w:rPr>
        <w:t>Diapositiva 6 – Indicadores clave y subíndices</w:t>
      </w:r>
    </w:p>
    <w:p>
      <w:pPr>
        <w:pStyle w:val="ListBullet"/>
        <w:keepLines w:val="1"/>
        <w:keepNext w:val="1"/>
        <w:widowControl w:val="1"/>
      </w:pPr>
      <w:r>
        <w:t>Presentar IGM y subíndices por dominio.</w:t>
      </w:r>
    </w:p>
    <w:p>
      <w:pPr>
        <w:pStyle w:val="ListBullet"/>
        <w:keepLines w:val="1"/>
        <w:widowControl w:val="1"/>
      </w:pPr>
      <w:r>
        <w:t>Relacionar con métricas GQM que los alimentan.</w:t>
      </w:r>
    </w:p>
    <w:p>
      <w:pPr>
        <w:pStyle w:val="Heading2"/>
        <w:keepNext/>
        <w:keepLines/>
      </w:pPr>
      <w:r>
        <w:rPr>
          <w:color w:val="0066CC"/>
        </w:rPr>
        <w:t>Diapositiva 7 – Tendencias de riesgo e incidentes</w:t>
      </w:r>
    </w:p>
    <w:p>
      <w:pPr>
        <w:pStyle w:val="ListBullet"/>
        <w:keepLines w:val="1"/>
        <w:keepNext w:val="1"/>
        <w:widowControl w:val="1"/>
      </w:pPr>
      <w:r>
        <w:t>Gráfico de evolución de M3.1 y M3.2 (incidentes y tiempos de respuesta).</w:t>
      </w:r>
    </w:p>
    <w:p>
      <w:pPr>
        <w:pStyle w:val="ListBullet"/>
        <w:keepLines w:val="1"/>
        <w:widowControl w:val="1"/>
      </w:pPr>
      <w:r>
        <w:t>Comentario sobre la relación con mejoras en monitorización y formación.</w:t>
      </w:r>
    </w:p>
    <w:p>
      <w:pPr>
        <w:pStyle w:val="Heading2"/>
        <w:keepNext/>
        <w:keepLines/>
      </w:pPr>
      <w:r>
        <w:rPr>
          <w:color w:val="0066CC"/>
        </w:rPr>
        <w:t>Diapositiva 8 – Estado de proveedores y cadena de suministro</w:t>
      </w:r>
    </w:p>
    <w:p>
      <w:pPr>
        <w:pStyle w:val="ListBullet"/>
        <w:keepLines w:val="1"/>
        <w:keepNext w:val="1"/>
        <w:widowControl w:val="1"/>
      </w:pPr>
      <w:r>
        <w:t>Gráfico sobre M6.1 (% proveedores evaluados) y M6.2 (incidentes de terceros).</w:t>
      </w:r>
    </w:p>
    <w:p>
      <w:pPr>
        <w:pStyle w:val="ListBullet"/>
        <w:keepLines w:val="1"/>
        <w:widowControl w:val="1"/>
      </w:pPr>
      <w:r>
        <w:t>Mensajes sobre dependencia de proveedores críticos.</w:t>
      </w:r>
    </w:p>
    <w:p>
      <w:pPr>
        <w:pStyle w:val="Heading2"/>
        <w:keepNext/>
        <w:keepLines/>
      </w:pPr>
      <w:r>
        <w:rPr>
          <w:color w:val="0066CC"/>
        </w:rPr>
        <w:t>Diapositiva 9 – Cultura y capacidades</w:t>
      </w:r>
    </w:p>
    <w:p>
      <w:pPr>
        <w:pStyle w:val="ListBullet"/>
        <w:keepLines w:val="1"/>
        <w:widowControl w:val="1"/>
      </w:pPr>
      <w:r>
        <w:t>Indicadores M7.1 y M7.2, ligados a programas de formación y evaluaciones de impacto.</w:t>
      </w:r>
    </w:p>
    <w:p>
      <w:pPr>
        <w:pStyle w:val="Heading2"/>
        <w:keepNext/>
        <w:keepLines/>
      </w:pPr>
      <w:r>
        <w:rPr>
          <w:color w:val="0066CC"/>
        </w:rPr>
        <w:t>Diapositiva 10 – IGM y ROI de IA segura</w:t>
      </w:r>
    </w:p>
    <w:p>
      <w:pPr>
        <w:pStyle w:val="ListBullet"/>
        <w:keepLines w:val="1"/>
        <w:keepNext w:val="1"/>
        <w:widowControl w:val="1"/>
      </w:pPr>
      <w:r>
        <w:t>Presentar IGM global y ROI estimado.</w:t>
      </w:r>
    </w:p>
    <w:p>
      <w:pPr>
        <w:pStyle w:val="ListBullet"/>
        <w:keepLines w:val="1"/>
        <w:widowControl w:val="1"/>
      </w:pPr>
      <w:r>
        <w:t>Explicar supuestos clave y rangos de incertidumbre.</w:t>
      </w:r>
    </w:p>
    <w:p>
      <w:pPr>
        <w:pStyle w:val="Heading2"/>
        <w:keepNext/>
        <w:keepLines/>
      </w:pPr>
      <w:r>
        <w:rPr>
          <w:color w:val="0066CC"/>
        </w:rPr>
        <w:t>Diapositiva 11 – Vacíos y métricas a reforzar</w:t>
      </w:r>
    </w:p>
    <w:p>
      <w:pPr>
        <w:pStyle w:val="ListBullet"/>
        <w:keepLines w:val="1"/>
        <w:keepNext w:val="1"/>
        <w:widowControl w:val="1"/>
      </w:pPr>
      <w:r>
        <w:t>Señalar métricas con baja nota PRAGMATIC (por ejemplo, genuinidad, precisión o coste-efectividad pobre).</w:t>
      </w:r>
    </w:p>
    <w:p>
      <w:pPr>
        <w:pStyle w:val="ListBullet"/>
        <w:keepLines w:val="1"/>
        <w:widowControl w:val="1"/>
      </w:pPr>
      <w:r>
        <w:t>Proponer acciones para mejorar la calidad de la medición.</w:t>
      </w:r>
    </w:p>
    <w:p>
      <w:pPr>
        <w:pStyle w:val="Heading2"/>
        <w:keepNext/>
        <w:keepLines/>
      </w:pPr>
      <w:r>
        <w:rPr>
          <w:color w:val="0066CC"/>
        </w:rPr>
        <w:t>Diapositiva 12 – Priorización y hoja de ruta</w:t>
      </w:r>
    </w:p>
    <w:p>
      <w:pPr>
        <w:pStyle w:val="ListBullet"/>
        <w:keepLines w:val="1"/>
        <w:keepNext w:val="1"/>
        <w:widowControl w:val="1"/>
      </w:pPr>
      <w:r>
        <w:t>Acciones prioritarias vinculadas a objetivos GQM y métricas clave.</w:t>
      </w:r>
    </w:p>
    <w:p>
      <w:pPr>
        <w:pStyle w:val="ListBullet"/>
        <w:keepLines w:val="1"/>
        <w:widowControl w:val="1"/>
      </w:pPr>
      <w:r>
        <w:t>Calendario de mejora (12–24 meses) y puntos de revisión.</w:t>
      </w:r>
    </w:p>
    <w:p>
      <w:pPr>
        <w:pStyle w:val="Heading2"/>
        <w:keepNext/>
        <w:keepLines/>
      </w:pPr>
      <w:r>
        <w:rPr>
          <w:color w:val="0066CC"/>
        </w:rPr>
        <w:t>Diapositiva 13 – Conclusiones</w:t>
      </w:r>
    </w:p>
    <w:p>
      <w:pPr>
        <w:pStyle w:val="ListBullet"/>
        <w:keepLines w:val="1"/>
        <w:keepNext w:val="1"/>
        <w:widowControl w:val="1"/>
      </w:pPr>
      <w:r>
        <w:t>Mensaje sobre el valor de medir bien para gestionar mejor la IA.</w:t>
      </w:r>
    </w:p>
    <w:p>
      <w:pPr>
        <w:pStyle w:val="ListBullet"/>
        <w:keepLines w:val="1"/>
        <w:widowControl w:val="1"/>
      </w:pPr>
      <w:r>
        <w:t>Invitación a revisar anualmente objetivos, preguntas y métricas.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