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(g) README del Kit GQM + PRAGMATIC para indicadores ISO/IEC 42001 – Ciberseguridad de IA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Este kit complementa el modelo de encuesta ISO/IEC 42001 incorporando un marco explícito GQM + PRAGMATIC para diseñar, evaluar y gobernar indicadores de ciberseguridad de IA.</w:t>
      </w:r>
    </w:p>
    <w:p>
      <w:r>
        <w:t>Incluye:</w:t>
      </w:r>
    </w:p>
    <w:p>
      <w:pPr>
        <w:pStyle w:val="ListBullet"/>
        <w:keepLines w:val="1"/>
        <w:keepNext w:val="1"/>
        <w:widowControl w:val="1"/>
      </w:pPr>
      <w:r>
        <w:t>Un marco integrativo GQM + PRAGMATIC (a) que define principios, componentes y plantilla.</w:t>
      </w:r>
    </w:p>
    <w:p>
      <w:pPr>
        <w:pStyle w:val="ListBullet"/>
        <w:keepLines w:val="1"/>
        <w:keepNext w:val="1"/>
        <w:widowControl w:val="1"/>
      </w:pPr>
      <w:r>
        <w:t>Una matriz de evaluación PRAGMATIC (b) con puntuaciones sugeridas para las métricas clave.</w:t>
      </w:r>
    </w:p>
    <w:p>
      <w:pPr>
        <w:pStyle w:val="ListBullet"/>
        <w:keepLines w:val="1"/>
        <w:keepNext w:val="1"/>
        <w:widowControl w:val="1"/>
      </w:pPr>
      <w:r>
        <w:t>Una narrativa explicativa (c) para acompañar el diálogo con la alta dirección.</w:t>
      </w:r>
    </w:p>
    <w:p>
      <w:pPr>
        <w:pStyle w:val="ListBullet"/>
        <w:keepLines w:val="1"/>
        <w:keepNext w:val="1"/>
        <w:widowControl w:val="1"/>
      </w:pPr>
      <w:r>
        <w:t>Un mapeo GQM de objetivos, preguntas y métricas (d).</w:t>
      </w:r>
    </w:p>
    <w:p>
      <w:pPr>
        <w:pStyle w:val="ListBullet"/>
        <w:keepLines w:val="1"/>
        <w:keepNext w:val="1"/>
        <w:widowControl w:val="1"/>
      </w:pPr>
      <w:r>
        <w:t>Una plantilla de Excel (e) para articular objetivos, métricas, IGM y ROI.</w:t>
      </w:r>
    </w:p>
    <w:p>
      <w:pPr>
        <w:pStyle w:val="ListBullet"/>
        <w:keepLines w:val="1"/>
        <w:widowControl w:val="1"/>
      </w:pPr>
      <w:r>
        <w:t>Una plantilla de reporte ejecutivo en PowerPoint (f).</w:t>
      </w:r>
    </w:p>
    <w:p>
      <w:pPr>
        <w:pStyle w:val="Heading2"/>
        <w:keepNext/>
        <w:keepLines/>
      </w:pPr>
      <w:r>
        <w:rPr>
          <w:color w:val="0066CC"/>
        </w:rPr>
        <w:t>2. Cómo usar este kit junto con la encuesta</w:t>
      </w:r>
    </w:p>
    <w:p>
      <w:pPr>
        <w:pStyle w:val="ListNumber"/>
        <w:keepLines w:val="1"/>
        <w:keepNext w:val="1"/>
        <w:widowControl w:val="1"/>
      </w:pPr>
      <w:r>
        <w:t>Utilice la encuesta ISO/IEC 42001 para obtener una visión de madurez y prácticas actuales.</w:t>
      </w:r>
    </w:p>
    <w:p>
      <w:pPr>
        <w:pStyle w:val="ListNumber"/>
        <w:keepLines w:val="1"/>
        <w:keepNext w:val="1"/>
        <w:widowControl w:val="1"/>
      </w:pPr>
      <w:r>
        <w:t>A partir de los resultados, seleccione las métricas más relevantes para su organización dentro del catálogo GQM.</w:t>
      </w:r>
    </w:p>
    <w:p>
      <w:pPr>
        <w:pStyle w:val="ListNumber"/>
        <w:keepLines w:val="1"/>
        <w:keepNext w:val="1"/>
        <w:widowControl w:val="1"/>
      </w:pPr>
      <w:r>
        <w:t>Revise la matriz PRAGMATIC para valorar la calidad de cada métrica y descarte aquellas que no aporten suficiente valor.</w:t>
      </w:r>
    </w:p>
    <w:p>
      <w:pPr>
        <w:pStyle w:val="ListNumber"/>
        <w:keepLines w:val="1"/>
        <w:keepNext w:val="1"/>
        <w:widowControl w:val="1"/>
      </w:pPr>
      <w:r>
        <w:t>Configure el libro Excel según la plantilla, vinculando métricas con objetivos y subíndices.</w:t>
      </w:r>
    </w:p>
    <w:p>
      <w:pPr>
        <w:pStyle w:val="ListNumber"/>
        <w:keepLines w:val="1"/>
        <w:widowControl w:val="1"/>
      </w:pPr>
      <w:r>
        <w:t>Elabore el reporte ejecutivo siguiendo la estructura propuesta, de forma que cada indicador se vea respaldado por un objetivo y una narrativa clara.</w:t>
      </w:r>
    </w:p>
    <w:p>
      <w:pPr>
        <w:pStyle w:val="Heading2"/>
        <w:keepNext/>
        <w:keepLines/>
      </w:pPr>
      <w:r>
        <w:rPr>
          <w:color w:val="0066CC"/>
        </w:rPr>
        <w:t>3. Buenas prácticas de gobierno de métricas</w:t>
      </w:r>
    </w:p>
    <w:p>
      <w:pPr>
        <w:pStyle w:val="ListBullet"/>
        <w:keepLines w:val="1"/>
        <w:keepNext w:val="1"/>
        <w:widowControl w:val="1"/>
      </w:pPr>
      <w:r>
        <w:t>Trazabilidad: ninguna métrica sin objetivo, ninguna diapositiva sin métrica.</w:t>
      </w:r>
    </w:p>
    <w:p>
      <w:pPr>
        <w:pStyle w:val="ListBullet"/>
        <w:keepLines w:val="1"/>
        <w:keepNext w:val="1"/>
        <w:widowControl w:val="1"/>
      </w:pPr>
      <w:r>
        <w:t>Simplicidad: pocas métricas estratégicas, bien entendidas y mantenidas; el resto, para uso operativo.</w:t>
      </w:r>
    </w:p>
    <w:p>
      <w:pPr>
        <w:pStyle w:val="ListBullet"/>
        <w:keepLines w:val="1"/>
        <w:keepNext w:val="1"/>
        <w:widowControl w:val="1"/>
      </w:pPr>
      <w:r>
        <w:t>Revisión periódica: actualice objetivos, preguntas y métricas al menos una vez al año.</w:t>
      </w:r>
    </w:p>
    <w:p>
      <w:pPr>
        <w:pStyle w:val="ListBullet"/>
        <w:keepLines w:val="1"/>
        <w:widowControl w:val="1"/>
      </w:pPr>
      <w:r>
        <w:t>Transparencia: documente definiciones, fuentes, supuestos y limitaciones de cada métrica.</w:t>
      </w:r>
    </w:p>
    <w:p>
      <w:pPr>
        <w:pStyle w:val="Heading2"/>
        <w:keepNext/>
        <w:keepLines/>
      </w:pPr>
      <w:r>
        <w:rPr>
          <w:color w:val="0066CC"/>
        </w:rPr>
        <w:t>4. Adaptación al contexto nacional y sectorial</w:t>
      </w:r>
    </w:p>
    <w:p>
      <w:r>
        <w:t>Los ejemplos están pensados para un contexto nacional similar al español, con marcos como ENS, ENIA y EU AI Act. Cada país o sector puede:</w:t>
      </w:r>
    </w:p>
    <w:p>
      <w:pPr>
        <w:pStyle w:val="ListBullet"/>
        <w:keepLines w:val="1"/>
        <w:keepNext w:val="1"/>
        <w:widowControl w:val="1"/>
      </w:pPr>
      <w:r>
        <w:t>Añadir objetivos específicos (por ejemplo, defensa, salud, transporte).</w:t>
      </w:r>
    </w:p>
    <w:p>
      <w:pPr>
        <w:pStyle w:val="ListBullet"/>
        <w:keepLines w:val="1"/>
        <w:keepNext w:val="1"/>
        <w:widowControl w:val="1"/>
      </w:pPr>
      <w:r>
        <w:t>Incorporar métricas regulatorias obligatorias.</w:t>
      </w:r>
    </w:p>
    <w:p>
      <w:pPr>
        <w:pStyle w:val="ListBullet"/>
        <w:keepLines w:val="1"/>
        <w:widowControl w:val="1"/>
      </w:pPr>
      <w:r>
        <w:t>Ajustar pesos de subíndices e interpretación del IGM.</w:t>
      </w:r>
    </w:p>
    <w:p>
      <w:pPr>
        <w:pStyle w:val="Heading2"/>
        <w:keepNext/>
        <w:keepLines/>
      </w:pPr>
      <w:r>
        <w:rPr>
          <w:color w:val="0066CC"/>
        </w:rPr>
        <w:t>5. Limitaciones y sentido común</w:t>
      </w:r>
    </w:p>
    <w:p>
      <w:r>
        <w:t>Ni GQM ni PRAGMATIC son talismanes infalibles. Pueden ayudar a evitar métricas inútiles y a reforzar las útiles, pero no sustituyen el juicio experto ni la responsabilidad de quienes toman decisiones. Si una métrica contradice la realidad manifiesta o induce comportamientos indeseados, el problema no está en la fórmula de Excel, sino en cómo se usa.</w:t>
      </w:r>
    </w:p>
    <w:p>
      <w:r>
        <w:t>El mejor síntoma de que el kit funciona no es tener dashboards más bonitos, sino ver cambios reales en prácticas de seguridad, reducción de incidentes y conversaciones más maduras sobre la IA que queremos desplegar.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