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de Encuesta ISO/IEC 42001 – Ciberseguridad y Gestión de IA</w:t>
      </w:r>
    </w:p>
    <w:p>
      <w:pPr>
        <w:pStyle w:val="Heading2"/>
        <w:keepNext/>
        <w:keepLines/>
      </w:pPr>
      <w:r>
        <w:rPr>
          <w:color w:val="0066CC"/>
        </w:rPr>
        <w:t>1. ¿Qué contiene este kit?</w:t>
      </w:r>
    </w:p>
    <w:p>
      <w:r>
        <w:t>Este kit reúne todos los ingredientes necesarios para llevar a cabo una evaluación estructurada de la madurez de su organización en materia de inteligencia artificial segura conforme a la Norma ISO/IEC 42001:</w:t>
      </w:r>
    </w:p>
    <w:p>
      <w:pPr>
        <w:pStyle w:val="ListBullet"/>
        <w:keepLines w:val="1"/>
        <w:keepNext w:val="1"/>
        <w:widowControl w:val="1"/>
      </w:pPr>
      <w:r>
        <w:t>Un modelo de encuesta integral en formato Markdown.</w:t>
      </w:r>
    </w:p>
    <w:p>
      <w:pPr>
        <w:pStyle w:val="ListBullet"/>
        <w:keepLines w:val="1"/>
        <w:keepNext w:val="1"/>
        <w:widowControl w:val="1"/>
      </w:pPr>
      <w:r>
        <w:t>Una guía metodológica detallada para interpretar y utilizar la encuesta.</w:t>
      </w:r>
    </w:p>
    <w:p>
      <w:pPr>
        <w:pStyle w:val="ListBullet"/>
        <w:keepLines w:val="1"/>
        <w:keepNext w:val="1"/>
        <w:widowControl w:val="1"/>
      </w:pPr>
      <w:r>
        <w:t>Una narrativa explicativa para acompañar los resultados ante la dirección.</w:t>
      </w:r>
    </w:p>
    <w:p>
      <w:pPr>
        <w:pStyle w:val="ListBullet"/>
        <w:keepLines w:val="1"/>
        <w:keepNext w:val="1"/>
        <w:widowControl w:val="1"/>
      </w:pPr>
      <w:r>
        <w:t>Un mapeo de preguntas a requisitos normativos de ISO/IEC 42001.</w:t>
      </w:r>
    </w:p>
    <w:p>
      <w:pPr>
        <w:pStyle w:val="ListBullet"/>
        <w:keepLines w:val="1"/>
        <w:keepNext w:val="1"/>
        <w:widowControl w:val="1"/>
      </w:pPr>
      <w:r>
        <w:t>Una plantilla de Excel (descrita) para cálculo de IGM y ROI.</w:t>
      </w:r>
    </w:p>
    <w:p>
      <w:pPr>
        <w:pStyle w:val="ListBullet"/>
        <w:keepLines w:val="1"/>
        <w:widowControl w:val="1"/>
      </w:pPr>
      <w:r>
        <w:t>Una plantilla de reporte ejecutivo para PowerPoint.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>Adapte el modelo de encuesta a la realidad de su organización (sector, tamaño, reguladores relevantes).</w:t>
      </w:r>
    </w:p>
    <w:p>
      <w:pPr>
        <w:pStyle w:val="ListNumber"/>
        <w:keepLines w:val="1"/>
        <w:keepNext w:val="1"/>
        <w:widowControl w:val="1"/>
      </w:pPr>
      <w:r>
        <w:t>Decida el ámbito de aplicación: toda la organización, una unidad de negocio, un país, etc.</w:t>
      </w:r>
    </w:p>
    <w:p>
      <w:pPr>
        <w:pStyle w:val="ListNumber"/>
        <w:keepLines w:val="1"/>
        <w:keepNext w:val="1"/>
        <w:widowControl w:val="1"/>
      </w:pPr>
      <w:r>
        <w:t>Designe un responsable de coordinación (idealmente CISO o Responsable de IA) y un pequeño equipo de apoyo.</w:t>
      </w:r>
    </w:p>
    <w:p>
      <w:pPr>
        <w:pStyle w:val="ListNumber"/>
        <w:keepLines w:val="1"/>
        <w:widowControl w:val="1"/>
      </w:pPr>
      <w:r>
        <w:t>Explique a las personas participantes el propósito de la encuesta y la importancia de respuestas honestas.</w:t>
      </w:r>
    </w:p>
    <w:p>
      <w:pPr>
        <w:pStyle w:val="Heading2"/>
        <w:keepNext/>
        <w:keepLines/>
      </w:pPr>
      <w:r>
        <w:rPr>
          <w:color w:val="0066CC"/>
        </w:rPr>
        <w:t>3. Cómo usar cada componente</w:t>
      </w:r>
    </w:p>
    <w:p>
      <w:pPr>
        <w:pStyle w:val="ListBullet"/>
        <w:keepLines w:val="1"/>
        <w:keepNext w:val="1"/>
        <w:widowControl w:val="1"/>
      </w:pPr>
      <w:r>
        <w:t>Encuesta integral: base para recopilar información. Puede implementarse en cualquier herramienta de formularios o integrarse en entrevistas.</w:t>
      </w:r>
    </w:p>
    <w:p>
      <w:pPr>
        <w:pStyle w:val="ListBullet"/>
        <w:keepLines w:val="1"/>
        <w:keepNext w:val="1"/>
        <w:widowControl w:val="1"/>
      </w:pPr>
      <w:r>
        <w:t>Guía metodológica: referencia para el diseño de la recogida de datos y el cálculo del IGM y subíndices.</w:t>
      </w:r>
    </w:p>
    <w:p>
      <w:pPr>
        <w:pStyle w:val="ListBullet"/>
        <w:keepLines w:val="1"/>
        <w:keepNext w:val="1"/>
        <w:widowControl w:val="1"/>
      </w:pPr>
      <w:r>
        <w:t>Narrativa explicativa: material de apoyo para contextualizar resultados frente a comités de riesgo, tecnología o alta dirección.</w:t>
      </w:r>
    </w:p>
    <w:p>
      <w:pPr>
        <w:pStyle w:val="ListBullet"/>
        <w:keepLines w:val="1"/>
        <w:keepNext w:val="1"/>
        <w:widowControl w:val="1"/>
      </w:pPr>
      <w:r>
        <w:t>Mapeo normativo: puente entre cada pregunta y las cláusulas de ISO/IEC 42001; útil para auditorías y programas de cumplimiento.</w:t>
      </w:r>
    </w:p>
    <w:p>
      <w:pPr>
        <w:pStyle w:val="ListBullet"/>
        <w:keepLines w:val="1"/>
        <w:keepNext w:val="1"/>
        <w:widowControl w:val="1"/>
      </w:pPr>
      <w:r>
        <w:t>Plantilla de Excel: estructura lógica para convertir respuestas en números, números en índices, e índices en gráficos comprensibles.</w:t>
      </w:r>
    </w:p>
    <w:p>
      <w:pPr>
        <w:pStyle w:val="ListBullet"/>
        <w:keepLines w:val="1"/>
        <w:widowControl w:val="1"/>
      </w:pPr>
      <w:r>
        <w:t>Plantilla de PowerPoint: guion para la presentación ejecutiva, evitando que los resultados queden atrapados en hojas de cálculo solitarias.</w:t>
      </w:r>
    </w:p>
    <w:p>
      <w:pPr>
        <w:pStyle w:val="Heading2"/>
        <w:keepNext/>
        <w:keepLines/>
      </w:pPr>
      <w:r>
        <w:rPr>
          <w:color w:val="0066CC"/>
        </w:rPr>
        <w:t>4. Buenas prácticas de implementación</w:t>
      </w:r>
    </w:p>
    <w:p>
      <w:pPr>
        <w:pStyle w:val="ListBullet"/>
        <w:keepLines w:val="1"/>
        <w:keepNext w:val="1"/>
        <w:widowControl w:val="1"/>
      </w:pPr>
      <w:r>
        <w:t>Transparencia: aclare qué se va a hacer con los resultados y quién tendrá acceso a ellos.</w:t>
      </w:r>
    </w:p>
    <w:p>
      <w:pPr>
        <w:pStyle w:val="ListBullet"/>
        <w:keepLines w:val="1"/>
        <w:keepNext w:val="1"/>
        <w:widowControl w:val="1"/>
      </w:pPr>
      <w:r>
        <w:t>Periodicidad: repita la encuesta al menos una vez al año para medir evolución real.</w:t>
      </w:r>
    </w:p>
    <w:p>
      <w:pPr>
        <w:pStyle w:val="ListBullet"/>
        <w:keepLines w:val="1"/>
        <w:keepNext w:val="1"/>
        <w:widowControl w:val="1"/>
      </w:pPr>
      <w:r>
        <w:t>Evidencias: complemente las respuestas con documentación, logs y métricas objetivas.</w:t>
      </w:r>
    </w:p>
    <w:p>
      <w:pPr>
        <w:pStyle w:val="ListBullet"/>
        <w:keepLines w:val="1"/>
        <w:widowControl w:val="1"/>
      </w:pPr>
      <w:r>
        <w:t>Discusión: utilice los resultados como punto de partida para conversaciones interdisciplinares, no como un ranking para señalar culpables.</w:t>
      </w:r>
    </w:p>
    <w:p>
      <w:pPr>
        <w:pStyle w:val="Heading2"/>
        <w:keepNext/>
        <w:keepLines/>
      </w:pPr>
      <w:r>
        <w:rPr>
          <w:color w:val="0066CC"/>
        </w:rPr>
        <w:t>5. Licencia de uso intelectual y sentido común</w:t>
      </w:r>
    </w:p>
    <w:p>
      <w:r>
        <w:t>El kit se ofrece como plantilla genérica; cada organización deberá adaptar contenidos, escalas y pesos a su realidad regulatoria y de riesgo. La responsabilidad última de las decisiones tomadas a partir de los resultados recae, como siempre, en quienes las toman. ISO/IEC 42001 no garantiza la ausencia de incidentes, pero la ausencia de gestión suele garantizar la presencia de sorpresas.</w:t>
      </w:r>
    </w:p>
    <w:p>
      <w:pPr>
        <w:pStyle w:val="Heading2"/>
        <w:keepNext/>
        <w:keepLines/>
      </w:pPr>
      <w:r>
        <w:rPr>
          <w:color w:val="0066CC"/>
        </w:rPr>
        <w:t>6. Próximos pasos sugeridos</w:t>
      </w:r>
    </w:p>
    <w:p>
      <w:pPr>
        <w:pStyle w:val="ListBullet"/>
        <w:keepLines w:val="1"/>
        <w:keepNext w:val="1"/>
        <w:widowControl w:val="1"/>
      </w:pPr>
      <w:r>
        <w:t>Completar la encuesta con las áreas clave.</w:t>
      </w:r>
    </w:p>
    <w:p>
      <w:pPr>
        <w:pStyle w:val="ListBullet"/>
        <w:keepLines w:val="1"/>
        <w:keepNext w:val="1"/>
        <w:widowControl w:val="1"/>
      </w:pPr>
      <w:r>
        <w:t>Construir o adaptar el fichero Excel siguiendo la plantilla descrita.</w:t>
      </w:r>
    </w:p>
    <w:p>
      <w:pPr>
        <w:pStyle w:val="ListBullet"/>
        <w:keepLines w:val="1"/>
        <w:keepNext w:val="1"/>
        <w:widowControl w:val="1"/>
      </w:pPr>
      <w:r>
        <w:t>Calcular el IGM y los subíndices.</w:t>
      </w:r>
    </w:p>
    <w:p>
      <w:pPr>
        <w:pStyle w:val="ListBullet"/>
        <w:keepLines w:val="1"/>
        <w:keepNext w:val="1"/>
        <w:widowControl w:val="1"/>
      </w:pPr>
      <w:r>
        <w:t>Elaborar el reporte ejecutivo para el órgano de gobierno correspondiente.</w:t>
      </w:r>
    </w:p>
    <w:p>
      <w:pPr>
        <w:pStyle w:val="ListBullet"/>
        <w:keepLines w:val="1"/>
        <w:widowControl w:val="1"/>
      </w:pPr>
      <w:r>
        <w:t>Definir un plan de acción con prioridades claras y responsables asignados.</w:t>
      </w:r>
    </w:p>
    <w:p>
      <w:r>
        <w:t>Con eso, no habrán domado del todo a la IA, pero al menos habrán empezado a medirla, que ya es una forma modesta de civilización.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