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NIST CSF 20.</w:t>
      </w:r>
    </w:p>
    <w:p>
      <w:r>
        <w:t>La versión 2.0 del NIST CSF ha convertido la medición en un “deber ser” explícito: ya no basta con “hacer cosas de seguridad”, hay que demostrar, con números, que se gobierna el riesgo y se mejora en el tiempo. A nivel país, España puede articular indicadores CSF 2.0 apoyándose en su Estrategia Nacional de Ciberseguridad, el Plan Nacional de Ciberseguridad y las métricas que ya publica la Administración General del Estado sobre incidentes, inversión y capacidades.</w:t>
      </w:r>
      <w:r/>
      <w:r>
        <w:rPr/>
        <w:footnoteReference w:id="1"/>
      </w:r>
      <w:r/>
      <w:r>
        <w:rPr/>
        <w:footnoteReference w:id="2"/>
      </w:r>
      <w:r/>
      <w:r>
        <w:rPr/>
        <w:footnoteReference w:id="3"/>
      </w:r>
      <w:r/>
      <w:r>
        <w:rPr/>
        <w:footnoteReference w:id="4"/>
      </w:r>
    </w:p>
    <w:p>
      <w:pPr>
        <w:pStyle w:val="Heading2"/>
        <w:keepNext/>
        <w:keepLines/>
      </w:pPr>
      <w:r>
        <w:rPr>
          <w:color w:val="0066CC"/>
        </w:rPr>
        <w:t>1. Qué mide realmente NIST CSF 2.0</w:t>
      </w:r>
    </w:p>
    <w:p>
      <w:r>
        <w:t>CSF 2.0 no incluye “KPIs pre‑hechos”, pero sí define dónde deben existir métricas: en casi todas las subcategorías hay ejemplos de objetivos medibles, riesgos cuantificados, y revisiones con KPIs/KRIs. En particular:</w:t>
      </w:r>
      <w:r/>
      <w:r>
        <w:rPr/>
        <w:footnoteReference w:id="2"/>
      </w:r>
      <w:r/>
      <w:r>
        <w:rPr/>
        <w:footnoteReference w:id="1"/>
      </w:r>
    </w:p>
    <w:p>
      <w:pPr>
        <w:pStyle w:val="ListBullet"/>
        <w:keepLines w:val="1"/>
        <w:keepNext w:val="1"/>
        <w:widowControl w:val="1"/>
      </w:pPr>
      <w:r>
        <w:t>GOVERN (GV): exige objetivos de gestión del riesgo medibles, declaraciones de apetito y tolerancia al riesgo, KPIs/KRIs revisados y comunicados a la alta dirección.12</w:t>
      </w:r>
    </w:p>
    <w:p>
      <w:pPr>
        <w:pStyle w:val="ListBullet"/>
        <w:keepLines w:val="1"/>
        <w:keepNext w:val="1"/>
        <w:widowControl w:val="1"/>
      </w:pPr>
      <w:r>
        <w:t>IDENTIFY (ID): inventarios completos y priorización de activos, vulnerabilidades y dependencias, con uso de análisis de impacto y registros de riesgo para priorizar respuestas.21</w:t>
      </w:r>
    </w:p>
    <w:p>
      <w:pPr>
        <w:pStyle w:val="ListBullet"/>
        <w:keepLines w:val="1"/>
        <w:keepNext w:val="1"/>
        <w:widowControl w:val="1"/>
      </w:pPr>
      <w:r>
        <w:t>PROTECT (PR): control de acceso, formación, seguridad de datos y plataformas, todos con ejemplos de cobertura, frecuencia, calidad y cumplimiento que son fácilmente traducibles a métricas.12</w:t>
      </w:r>
    </w:p>
    <w:p>
      <w:pPr>
        <w:pStyle w:val="ListBullet"/>
        <w:keepLines w:val="1"/>
        <w:widowControl w:val="1"/>
      </w:pPr>
      <w:r>
        <w:t>DETECT (DE), RESPOND (RS), RECOVER (RC): insisten en detección oportuna, respuesta contenida y recuperación alineada con objetivos de resiliencia (RTO/RPO), con lecciones aprendidas y planes actualizados.21</w:t>
      </w:r>
    </w:p>
    <w:p>
      <w:r>
        <w:t>Además, NIST ha publicado “Implementation Examples” que, aunque no llaman a nada “indicador” de forma explícita, describen acciones que solo tienen sentido si se miden (revisión de KPIs/KRIs, seguimiento de planes de acción, evaluación de desempeño).</w:t>
      </w:r>
      <w:r/>
      <w:r>
        <w:rPr/>
        <w:footnoteReference w:id="1"/>
      </w:r>
    </w:p>
    <w:p>
      <w:pPr>
        <w:pStyle w:val="Heading2"/>
        <w:keepNext/>
        <w:keepLines/>
      </w:pPr>
      <w:r>
        <w:rPr>
          <w:color w:val="0066CC"/>
        </w:rPr>
        <w:t>2. Dimensiones clave de indicadores CSF 2.0 (visión mundial)</w:t>
      </w:r>
    </w:p>
    <w:p>
      <w:r>
        <w:t>A partir del propio CSF 2.0 y de sus ejemplos de implementación, se pueden agrupar las métricas modernas (post‑2024) en seis bloques temáticos.</w:t>
      </w:r>
      <w:r/>
      <w:r>
        <w:rPr/>
        <w:footnoteReference w:id="2"/>
      </w:r>
      <w:r/>
      <w:r>
        <w:rPr/>
        <w:footnoteReference w:id="1"/>
      </w:r>
    </w:p>
    <w:p>
      <w:pPr>
        <w:pStyle w:val="Heading3"/>
        <w:keepNext/>
        <w:keepLines/>
      </w:pPr>
      <w:r>
        <w:t>2.1. Gobernanza, apetito de riesgo y desempeño (GV)</w:t>
      </w:r>
    </w:p>
    <w:p>
      <w:r>
        <w:t>Indicadores típicos alineados con GOVERN:</w:t>
      </w:r>
    </w:p>
    <w:p>
      <w:pPr>
        <w:pStyle w:val="ListBullet"/>
        <w:keepLines w:val="1"/>
        <w:keepNext w:val="1"/>
        <w:widowControl w:val="1"/>
      </w:pPr>
      <w:r>
        <w:t>Porcentaje de objetivos de gestión de riesgo ciber definidos con métricas claras (p.ej., “% sistemas críticos por debajo de X vulnerabilidades críticas”).1</w:t>
      </w:r>
    </w:p>
    <w:p>
      <w:pPr>
        <w:pStyle w:val="ListBullet"/>
        <w:keepLines w:val="1"/>
        <w:keepNext w:val="1"/>
        <w:widowControl w:val="1"/>
      </w:pPr>
      <w:r>
        <w:t>Porcentaje de unidades u organismos que han formalizado y comunicado sus declaraciones de apetito y tolerancia al riesgo.1</w:t>
      </w:r>
    </w:p>
    <w:p>
      <w:pPr>
        <w:pStyle w:val="ListBullet"/>
        <w:keepLines w:val="1"/>
        <w:keepNext w:val="1"/>
        <w:widowControl w:val="1"/>
      </w:pPr>
      <w:r>
        <w:t>Número de riesgos ciber agregados en el registro de riesgos corporativo/nacional (integrados con ERM), y proporción respecto al total de riesgos estratégicos.21</w:t>
      </w:r>
    </w:p>
    <w:p>
      <w:pPr>
        <w:pStyle w:val="ListBullet"/>
        <w:keepLines w:val="1"/>
        <w:keepNext w:val="1"/>
        <w:widowControl w:val="1"/>
      </w:pPr>
      <w:r>
        <w:t>Frecuencia con la que se revisa la estrategia de ciberseguridad a la luz de auditorías, incidentes y cambios en requisitos (normativos, tecnológicos, de misión).1</w:t>
      </w:r>
    </w:p>
    <w:p>
      <w:pPr>
        <w:pStyle w:val="ListBullet"/>
        <w:keepLines w:val="1"/>
        <w:widowControl w:val="1"/>
      </w:pPr>
      <w:r>
        <w:t>Existencia y uso de un método estandarizado de cálculo y priorización de riesgos (porcentaje de análisis de riesgo realizados bajo ese método).1</w:t>
      </w:r>
    </w:p>
    <w:p>
      <w:r>
        <w:t>Ejemplo de KPI “filosófico pero cuantificable”: porcentaje de decisiones estratégicas de negocio (fusiones, grandes contratos, externalizaciones) que incluyen análisis explícito de ciberriesgo documentado.</w:t>
      </w:r>
      <w:r/>
      <w:r>
        <w:rPr/>
        <w:footnoteReference w:id="1"/>
      </w:r>
    </w:p>
    <w:p>
      <w:pPr>
        <w:pStyle w:val="Heading3"/>
        <w:keepNext/>
        <w:keepLines/>
      </w:pPr>
      <w:r>
        <w:t>2.2. Gestión de activos, datos y dependencias (ID.AM, ID.IM)</w:t>
      </w:r>
    </w:p>
    <w:p>
      <w:pPr>
        <w:pStyle w:val="ListBullet"/>
        <w:keepLines w:val="1"/>
        <w:keepNext w:val="1"/>
        <w:widowControl w:val="1"/>
      </w:pPr>
      <w:r>
        <w:t>Cobertura de inventario de hardware y software (p.ej., “% de dispositivos OT/IoT detectados automáticamente frente a estimación total”).1</w:t>
      </w:r>
    </w:p>
    <w:p>
      <w:pPr>
        <w:pStyle w:val="ListBullet"/>
        <w:keepLines w:val="1"/>
        <w:keepNext w:val="1"/>
        <w:widowControl w:val="1"/>
      </w:pPr>
      <w:r>
        <w:t>Porcentaje de servicios en la nube, APIs y SaaS catalogados con propietario, criticidad y datos tratados.1</w:t>
      </w:r>
    </w:p>
    <w:p>
      <w:pPr>
        <w:pStyle w:val="ListBullet"/>
        <w:keepLines w:val="1"/>
        <w:keepNext w:val="1"/>
        <w:widowControl w:val="1"/>
      </w:pPr>
      <w:r>
        <w:t>Porcentaje de activos priorizados por criticidad y impacto en la misión, actualizado en los últimos 12 meses.1</w:t>
      </w:r>
    </w:p>
    <w:p>
      <w:pPr>
        <w:pStyle w:val="ListBullet"/>
        <w:keepLines w:val="1"/>
        <w:keepNext w:val="1"/>
        <w:widowControl w:val="1"/>
      </w:pPr>
      <w:r>
        <w:t>Cobertura de clasificación de datos para tipos designados (PII, IP, datos OT, etc.) y porcentaje con metadatos completos (origen, propietario, geolocalización).1</w:t>
      </w:r>
    </w:p>
    <w:p>
      <w:pPr>
        <w:pStyle w:val="ListBullet"/>
        <w:keepLines w:val="1"/>
        <w:widowControl w:val="1"/>
      </w:pPr>
      <w:r>
        <w:t>Porcentaje de sistemas que incorporan criterios de ciberseguridad a lo largo de todo su ciclo de vida (desde diseño hasta retirada), incluido desmantelamiento seguro.1</w:t>
      </w:r>
    </w:p>
    <w:p>
      <w:pPr>
        <w:pStyle w:val="Heading3"/>
        <w:keepNext/>
        <w:keepLines/>
      </w:pPr>
      <w:r>
        <w:t>2.3. Evaluación de riesgos, vulnerabilidades y amenazas (ID.RA)</w:t>
      </w:r>
    </w:p>
    <w:p>
      <w:r>
        <w:t>CSF 2.0 dedica varias subcategorías a que el riesgo sea cuantificado, registrado y seguido.</w:t>
      </w:r>
      <w:r/>
      <w:r>
        <w:rPr/>
        <w:footnoteReference w:id="1"/>
      </w:r>
    </w:p>
    <w:p>
      <w:pPr>
        <w:pStyle w:val="ListBullet"/>
        <w:keepLines w:val="1"/>
        <w:keepNext w:val="1"/>
        <w:widowControl w:val="1"/>
      </w:pPr>
      <w:r>
        <w:t>Densidad de vulnerabilidades críticas (número por activo o por mil activos), y tiempo medio de remediación por criticidad.1</w:t>
      </w:r>
    </w:p>
    <w:p>
      <w:pPr>
        <w:pStyle w:val="ListBullet"/>
        <w:keepLines w:val="1"/>
        <w:keepNext w:val="1"/>
        <w:widowControl w:val="1"/>
      </w:pPr>
      <w:r>
        <w:t>Porcentaje de vulnerabilidades identificadas que cuentan con plan de respuesta documentado y seguimiento.1</w:t>
      </w:r>
    </w:p>
    <w:p>
      <w:pPr>
        <w:pStyle w:val="ListBullet"/>
        <w:keepLines w:val="1"/>
        <w:keepNext w:val="1"/>
        <w:widowControl w:val="1"/>
      </w:pPr>
      <w:r>
        <w:t>Cobertura de fuentes de threat intelligence integradas efectivamente en herramientas de detección/respuesta.1</w:t>
      </w:r>
    </w:p>
    <w:p>
      <w:pPr>
        <w:pStyle w:val="ListBullet"/>
        <w:keepLines w:val="1"/>
        <w:keepNext w:val="1"/>
        <w:widowControl w:val="1"/>
      </w:pPr>
      <w:r>
        <w:t>Porcentaje de escenarios de riesgo con estimaciones explícitas de probabilidad e impacto documentadas en el registro de riesgos.1</w:t>
      </w:r>
    </w:p>
    <w:p>
      <w:pPr>
        <w:pStyle w:val="ListBullet"/>
        <w:keepLines w:val="1"/>
        <w:widowControl w:val="1"/>
      </w:pPr>
      <w:r>
        <w:t>Porcentaje de cambios y excepciones con análisis de riesgo formal y rastreable, revisados periódicamente.1</w:t>
      </w:r>
    </w:p>
    <w:p>
      <w:pPr>
        <w:pStyle w:val="Heading3"/>
        <w:keepNext/>
        <w:keepLines/>
      </w:pPr>
      <w:r>
        <w:t>2.4. Operaciones de protección, detección y respuesta (PR, DE, RS)</w:t>
      </w:r>
    </w:p>
    <w:p>
      <w:r>
        <w:t>Aunque el CSF es agnóstico a tecnologías concretas, los ejemplos apuntan a indicadores operacionales clásicos modernizados.</w:t>
      </w:r>
      <w:r/>
      <w:r>
        <w:rPr/>
        <w:footnoteReference w:id="2"/>
      </w:r>
      <w:r/>
      <w:r>
        <w:rPr/>
        <w:footnoteReference w:id="1"/>
      </w:r>
    </w:p>
    <w:p>
      <w:pPr>
        <w:pStyle w:val="ListBullet"/>
        <w:keepLines w:val="1"/>
        <w:keepNext w:val="1"/>
        <w:widowControl w:val="1"/>
      </w:pPr>
      <w:r>
        <w:t>Porcentaje de identidades (usuarios, servicios, dispositivos) cubiertas por MFA conforme a política.1</w:t>
      </w:r>
    </w:p>
    <w:p>
      <w:pPr>
        <w:pStyle w:val="ListBullet"/>
        <w:keepLines w:val="1"/>
        <w:keepNext w:val="1"/>
        <w:widowControl w:val="1"/>
      </w:pPr>
      <w:r>
        <w:t>Porcentaje de cuentas con privilegios revisados en plazo tras cambio de rol o salida (cero trust disciplinado).1</w:t>
      </w:r>
    </w:p>
    <w:p>
      <w:pPr>
        <w:pStyle w:val="ListBullet"/>
        <w:keepLines w:val="1"/>
        <w:keepNext w:val="1"/>
        <w:widowControl w:val="1"/>
      </w:pPr>
      <w:r>
        <w:t>Porcentaje de plantilla cubierta por programas de concienciación, y tasa de éxito/fracaso en simulaciones de phishing.</w:t>
      </w:r>
    </w:p>
    <w:p>
      <w:pPr>
        <w:pStyle w:val="ListBullet"/>
        <w:keepLines w:val="1"/>
        <w:keepNext w:val="1"/>
        <w:widowControl w:val="1"/>
      </w:pPr>
      <w:r>
        <w:t>Cobertura de logs y telemetría (p.ej., “% de activos críticos integrados en SIEM/Plataforma de detección”, “% tráfico Este‑Oeste monitorizado”).</w:t>
      </w:r>
    </w:p>
    <w:p>
      <w:pPr>
        <w:pStyle w:val="ListBullet"/>
        <w:keepLines w:val="1"/>
        <w:keepNext w:val="1"/>
        <w:widowControl w:val="1"/>
      </w:pPr>
      <w:r>
        <w:t>Tiempos medios: MTTD (detección), MTTR (respuesta), TME para contener, aislar y erradicar incidentes críticos.</w:t>
      </w:r>
    </w:p>
    <w:p>
      <w:pPr>
        <w:pStyle w:val="ListBullet"/>
        <w:keepLines w:val="1"/>
        <w:widowControl w:val="1"/>
      </w:pPr>
      <w:r>
        <w:t>Porcentaje de incidentes gestionados conforme a los planes formales de respuesta, con lecciones aprendidas documentadas.</w:t>
      </w:r>
    </w:p>
    <w:p>
      <w:pPr>
        <w:pStyle w:val="Heading3"/>
        <w:keepNext/>
        <w:keepLines/>
      </w:pPr>
      <w:r>
        <w:t>2.5. Recuperación y resiliencia (RC)</w:t>
      </w:r>
    </w:p>
    <w:p>
      <w:r>
        <w:t>CSF 2.0 enfatiza resiliencia y objetivos de recuperación como parte de la estrategia.</w:t>
      </w:r>
      <w:r/>
      <w:r>
        <w:rPr/>
        <w:footnoteReference w:id="1"/>
      </w:r>
    </w:p>
    <w:p>
      <w:pPr>
        <w:pStyle w:val="ListBullet"/>
        <w:keepLines w:val="1"/>
        <w:keepNext w:val="1"/>
        <w:widowControl w:val="1"/>
      </w:pPr>
      <w:r>
        <w:t>Porcentaje de servicios críticos con objetivos de RTO/RPO definidos, aprobados y comunicados.1</w:t>
      </w:r>
    </w:p>
    <w:p>
      <w:pPr>
        <w:pStyle w:val="ListBullet"/>
        <w:keepLines w:val="1"/>
        <w:keepNext w:val="1"/>
        <w:widowControl w:val="1"/>
      </w:pPr>
      <w:r>
        <w:t>Porcentaje de servicios que cumplen su RTO/RPO en pruebas de recuperación y en incidentes reales.</w:t>
      </w:r>
    </w:p>
    <w:p>
      <w:pPr>
        <w:pStyle w:val="ListBullet"/>
        <w:keepLines w:val="1"/>
        <w:keepNext w:val="1"/>
        <w:widowControl w:val="1"/>
      </w:pPr>
      <w:r>
        <w:t>Frecuencia y alcance de pruebas de continuidad/recuperación (incluida participación de proveedores críticos).1</w:t>
      </w:r>
    </w:p>
    <w:p>
      <w:pPr>
        <w:pStyle w:val="ListBullet"/>
        <w:keepLines w:val="1"/>
        <w:widowControl w:val="1"/>
      </w:pPr>
      <w:r>
        <w:t>Porcentaje de planes de continuidad y DR actualizados en los últimos 12 meses.</w:t>
      </w:r>
    </w:p>
    <w:p>
      <w:pPr>
        <w:pStyle w:val="Heading3"/>
        <w:keepNext/>
        <w:keepLines/>
      </w:pPr>
      <w:r>
        <w:t>2.6. Cadena de suministro y terceros (GV.SC)</w:t>
      </w:r>
    </w:p>
    <w:p>
      <w:r>
        <w:t>La función GOVERN incorpora explícitamente la Cybersecurity Supply Chain Risk Management, con ejemplos de inventario, criterios de criticidad y requisitos contractuales.</w:t>
      </w:r>
      <w:r/>
      <w:r>
        <w:rPr/>
        <w:footnoteReference w:id="1"/>
      </w:r>
    </w:p>
    <w:p>
      <w:pPr>
        <w:pStyle w:val="ListBullet"/>
        <w:keepLines w:val="1"/>
        <w:keepNext w:val="1"/>
        <w:widowControl w:val="1"/>
      </w:pPr>
      <w:r>
        <w:t>Porcentaje de proveedores clasificados por criticidad según criterios normalizados (datos tratados, acceso a sistemas, impacto en la misión).1</w:t>
      </w:r>
    </w:p>
    <w:p>
      <w:pPr>
        <w:pStyle w:val="ListBullet"/>
        <w:keepLines w:val="1"/>
        <w:keepNext w:val="1"/>
        <w:widowControl w:val="1"/>
      </w:pPr>
      <w:r>
        <w:t>Porcentaje de proveedores críticos con requisitos de seguridad explícitos en contrato (SLAs de seguridad, SBOM, divulgación de vulnerabilidades, etc.).1</w:t>
      </w:r>
    </w:p>
    <w:p>
      <w:pPr>
        <w:pStyle w:val="ListBullet"/>
        <w:keepLines w:val="1"/>
        <w:keepNext w:val="1"/>
        <w:widowControl w:val="1"/>
      </w:pPr>
      <w:r>
        <w:t>Porcentaje de proveedores críticos sometidos a evaluación periódica de seguridad, y porcentaje que demuestra conformidad (certificaciones, auditorías, evidencias técnicas).1</w:t>
      </w:r>
    </w:p>
    <w:p>
      <w:pPr>
        <w:pStyle w:val="ListBullet"/>
        <w:keepLines w:val="1"/>
        <w:widowControl w:val="1"/>
      </w:pPr>
      <w:r>
        <w:t>Número de incidentes significativos originados o amplificados por la cadena de suministro, y tiempo de detección/comunicación conjunto.1</w:t>
      </w:r>
    </w:p>
    <w:p>
      <w:pPr>
        <w:pStyle w:val="Heading2"/>
        <w:keepNext/>
        <w:keepLines/>
      </w:pPr>
      <w:r>
        <w:rPr>
          <w:color w:val="0066CC"/>
        </w:rPr>
        <w:t>3. Tendencias recientes (2025–2026) en métricas CSF 2.0</w:t>
      </w:r>
    </w:p>
    <w:p>
      <w:r>
        <w:t>A partir de CSF 2.0, de sus Implementation Examples y de la evolución de guías asociadas (perfiles sectoriales, guías rápidas), pueden verse varias tendencias claras.</w:t>
      </w:r>
      <w:r/>
      <w:r>
        <w:rPr/>
        <w:footnoteReference w:id="5"/>
      </w:r>
      <w:r/>
      <w:r>
        <w:rPr/>
        <w:footnoteReference w:id="1"/>
      </w:r>
    </w:p>
    <w:p>
      <w:pPr>
        <w:pStyle w:val="ListBullet"/>
        <w:keepLines w:val="1"/>
        <w:keepNext w:val="1"/>
        <w:widowControl w:val="1"/>
      </w:pPr>
      <w:r>
        <w:t>De “cumplir controles” a medir resultados: se priorizan métricas que relacionan capacidades con reducción de impacto (p.ej., cumplimiento de RTO, caída de incidentes graves, menor exposición de vulnerabilidades críticas) frente a mera existencia de políticas.1</w:t>
      </w:r>
    </w:p>
    <w:p>
      <w:pPr>
        <w:pStyle w:val="ListBullet"/>
        <w:keepLines w:val="1"/>
        <w:keepNext w:val="1"/>
        <w:widowControl w:val="1"/>
      </w:pPr>
      <w:r>
        <w:t>Integración con ERM: las guías de NIST sobre integración con Enterprise Risk Management fomentan el uso de KPIs/KRIs comunes para ciber, privacidad, cadena de suministro y otros riesgos.21</w:t>
      </w:r>
    </w:p>
    <w:p>
      <w:pPr>
        <w:pStyle w:val="ListBullet"/>
        <w:keepLines w:val="1"/>
        <w:keepNext w:val="1"/>
        <w:widowControl w:val="1"/>
      </w:pPr>
      <w:r>
        <w:t>Indicadores de gobernanza y desempeño del CISO: NIST sugiere explícitamente revisar KPIs y KRIs para ajustar estrategia, evaluar el rendimiento de roles clave y asegurar que la política se cumple.21</w:t>
      </w:r>
    </w:p>
    <w:p>
      <w:pPr>
        <w:pStyle w:val="ListBullet"/>
        <w:keepLines w:val="1"/>
        <w:keepNext w:val="1"/>
        <w:widowControl w:val="1"/>
      </w:pPr>
      <w:r>
        <w:t>Métricas para IA y dominios emergentes: los perfiles CSF específicos para IA usan los mismos tipos de resultados y, por tanto, incentivan indicadores análogos (inventarios, riesgos, controles, respuesta).6</w:t>
      </w:r>
    </w:p>
    <w:p>
      <w:pPr>
        <w:pStyle w:val="ListBullet"/>
        <w:keepLines w:val="1"/>
        <w:widowControl w:val="1"/>
      </w:pPr>
      <w:r>
        <w:t>Automatización y monitorización continua: marcos de implementación recientes insisten en inventarios dinámicos, métricas actualizadas casi en tiempo real y seguimiento de acciones mediante registros de riesgo y planes de acción.78</w:t>
      </w:r>
    </w:p>
    <w:p>
      <w:pPr>
        <w:pStyle w:val="Heading2"/>
        <w:keepNext/>
        <w:keepLines/>
      </w:pPr>
      <w:r>
        <w:rPr>
          <w:color w:val="0066CC"/>
        </w:rPr>
        <w:t>4. Aplicación a nivel nacional en España</w:t>
      </w:r>
    </w:p>
    <w:p>
      <w:r>
        <w:t>España ya dispone de una arquitectura institucional que se presta bien a mapear indicadores CSF 2.0 a escala país: Estrategia Digital 2025, Estrategia Nacional de Ciberseguridad, Plan Nacional de Ciberseguridad, CCN‑CERT, INCIBE, CNPIC, etc. Los planes recientes insisten en reforzar capacidades, adaptarse a nuevas tecnologías (IA, computación cuántica) y afrontar un volumen creciente de ataques (más de 100 000 en 2024, con un crecimiento del 300% desde 2015 y un incidente muy grave cada tres días).</w:t>
      </w:r>
      <w:r/>
      <w:r>
        <w:rPr/>
        <w:footnoteReference w:id="3"/>
      </w:r>
      <w:r/>
      <w:r>
        <w:rPr/>
        <w:footnoteReference w:id="4"/>
      </w:r>
    </w:p>
    <w:p>
      <w:pPr>
        <w:pStyle w:val="Heading3"/>
        <w:keepNext/>
        <w:keepLines/>
      </w:pPr>
      <w:r>
        <w:t>4.1. Ejes de indicadores nacionales alineados con CSF 2.0</w:t>
      </w:r>
    </w:p>
    <w:p>
      <w:r>
        <w:t>A nivel país, los indicadores pueden estructurarse de forma paralela a las funciones CSF:</w:t>
      </w:r>
    </w:p>
    <w:p>
      <w:pPr>
        <w:pStyle w:val="ListBullet"/>
        <w:keepLines w:val="1"/>
        <w:keepNext w:val="1"/>
        <w:widowControl w:val="1"/>
      </w:pPr>
      <w:r>
        <w:t>Gobernanza nacional (GV):</w:t>
        <w:br/>
        <w:t>Número de estrategias y planes vigentes que incorporan ciberriesgo en la planificación nacional (seguridad, digitalización, defensa).43</w:t>
        <w:br/>
        <w:t>Porcentaje del presupuesto nacional de ciber y ciberdefensa ejecutado vs. planificado, por organismo (Defensa, DSN, CNI‑CCN, etc.).4</w:t>
        <w:br/>
        <w:t>Frecuencia de revisión de la Estrategia Nacional de Ciberseguridad para incorporar cambios de amenazas y tecnologías (IA, cuántica).4</w:t>
        <w:br/>
        <w:br/>
      </w:r>
    </w:p>
    <w:p>
      <w:pPr>
        <w:pStyle w:val="ListBullet"/>
        <w:keepLines w:val="1"/>
        <w:keepNext w:val="1"/>
        <w:widowControl w:val="1"/>
      </w:pPr>
      <w:r>
        <w:t>Capacidad instalada y preparación (ID, PR):</w:t>
        <w:br/>
        <w:t>Número de especialistas nuevos en ciberseguridad, IA y datos formados respecto al objetivo (p.ej., 20 000 nuevos especialistas en 2025).3</w:t>
        <w:br/>
        <w:t>Porcentaje de servicios públicos digitalizados con medidas de ciberseguridad alineadas a un perfil CSF (actual o futuro).3</w:t>
        <w:br/>
        <w:t>Número y cobertura de Centros de Operaciones de Seguridad (públicos y sectoriales) conectados con CERT nacionales (INCIBE‑CERT, CCN‑CERT).</w:t>
        <w:br/>
        <w:br/>
      </w:r>
    </w:p>
    <w:p>
      <w:pPr>
        <w:pStyle w:val="ListBullet"/>
        <w:keepLines w:val="1"/>
        <w:keepNext w:val="1"/>
        <w:widowControl w:val="1"/>
      </w:pPr>
      <w:r>
        <w:t>Exposición y eficacia operativa (DE, RS, RC):</w:t>
        <w:br/>
        <w:t>Número total de incidentes gestionados por los CERT nacionales por año, tasa de crecimiento y distribución por sector.4</w:t>
        <w:br/>
        <w:t>Número de ciberataques “muy graves” por periodo (p.ej., un caso cada tres días en 2024) y su tendencia.4</w:t>
        <w:br/>
        <w:t>Tiempos medios de detección, notificación a CSIRT nacionales y recuperación de servicios esenciales.</w:t>
        <w:br/>
        <w:br/>
      </w:r>
    </w:p>
    <w:p>
      <w:pPr>
        <w:pStyle w:val="ListBullet"/>
        <w:keepLines w:val="1"/>
        <w:widowControl w:val="1"/>
      </w:pPr>
      <w:r>
        <w:t>Cadena de suministro y ecosistema (GV.SC):</w:t>
        <w:br/>
        <w:t>Porcentaje de contratos públicos estratégicos que incluyen cláusulas de ciberseguridad alineadas a requisitos CSF (seguridad en la nube, SBOM, notificación de incidentes, etc.).1</w:t>
        <w:br/>
        <w:t>Número de proveedores y operadores esenciales que reportan incidentes y métricas a los organismos nacionales (CERT, supervisores sectoriales).</w:t>
        <w:br/>
        <w:br/>
      </w:r>
    </w:p>
    <w:p>
      <w:pPr>
        <w:pStyle w:val="ListBullet"/>
        <w:keepLines w:val="1"/>
        <w:keepNext w:val="1"/>
        <w:widowControl w:val="1"/>
      </w:pPr>
      <w:r>
        <w:t>Número de estrategias y planes vigentes que incorporan ciberriesgo en la planificación nacional (seguridad, digitalización, defensa).43</w:t>
      </w:r>
    </w:p>
    <w:p>
      <w:pPr>
        <w:pStyle w:val="ListBullet"/>
        <w:keepLines w:val="1"/>
        <w:keepNext w:val="1"/>
        <w:widowControl w:val="1"/>
      </w:pPr>
      <w:r>
        <w:t>Porcentaje del presupuesto nacional de ciber y ciberdefensa ejecutado vs. planificado, por organismo (Defensa, DSN, CNI‑CCN, etc.).4</w:t>
      </w:r>
    </w:p>
    <w:p>
      <w:pPr>
        <w:pStyle w:val="ListBullet"/>
        <w:keepLines w:val="1"/>
        <w:widowControl w:val="1"/>
      </w:pPr>
      <w:r>
        <w:t>Frecuencia de revisión de la Estrategia Nacional de Ciberseguridad para incorporar cambios de amenazas y tecnologías (IA, cuántica).4</w:t>
      </w:r>
    </w:p>
    <w:p>
      <w:pPr>
        <w:pStyle w:val="ListBullet"/>
        <w:keepLines w:val="1"/>
        <w:keepNext w:val="1"/>
        <w:widowControl w:val="1"/>
      </w:pPr>
      <w:r>
        <w:t>Número de especialistas nuevos en ciberseguridad, IA y datos formados respecto al objetivo (p.ej., 20 000 nuevos especialistas en 2025).3</w:t>
      </w:r>
    </w:p>
    <w:p>
      <w:pPr>
        <w:pStyle w:val="ListBullet"/>
        <w:keepLines w:val="1"/>
        <w:keepNext w:val="1"/>
        <w:widowControl w:val="1"/>
      </w:pPr>
      <w:r>
        <w:t>Porcentaje de servicios públicos digitalizados con medidas de ciberseguridad alineadas a un perfil CSF (actual o futuro).3</w:t>
      </w:r>
    </w:p>
    <w:p>
      <w:pPr>
        <w:pStyle w:val="ListBullet"/>
        <w:keepLines w:val="1"/>
        <w:widowControl w:val="1"/>
      </w:pPr>
      <w:r>
        <w:t>Número y cobertura de Centros de Operaciones de Seguridad (públicos y sectoriales) conectados con CERT nacionales (INCIBE‑CERT, CCN‑CERT).</w:t>
      </w:r>
    </w:p>
    <w:p>
      <w:pPr>
        <w:pStyle w:val="ListBullet"/>
        <w:keepLines w:val="1"/>
        <w:keepNext w:val="1"/>
        <w:widowControl w:val="1"/>
      </w:pPr>
      <w:r>
        <w:t>Número total de incidentes gestionados por los CERT nacionales por año, tasa de crecimiento y distribución por sector.4</w:t>
      </w:r>
    </w:p>
    <w:p>
      <w:pPr>
        <w:pStyle w:val="ListBullet"/>
        <w:keepLines w:val="1"/>
        <w:keepNext w:val="1"/>
        <w:widowControl w:val="1"/>
      </w:pPr>
      <w:r>
        <w:t>Número de ciberataques “muy graves” por periodo (p.ej., un caso cada tres días en 2024) y su tendencia.4</w:t>
      </w:r>
    </w:p>
    <w:p>
      <w:pPr>
        <w:pStyle w:val="ListBullet"/>
        <w:keepLines w:val="1"/>
        <w:widowControl w:val="1"/>
      </w:pPr>
      <w:r>
        <w:t>Tiempos medios de detección, notificación a CSIRT nacionales y recuperación de servicios esenciales.</w:t>
      </w:r>
    </w:p>
    <w:p>
      <w:pPr>
        <w:pStyle w:val="ListBullet"/>
        <w:keepLines w:val="1"/>
        <w:keepNext w:val="1"/>
        <w:widowControl w:val="1"/>
      </w:pPr>
      <w:r>
        <w:t>Porcentaje de contratos públicos estratégicos que incluyen cláusulas de ciberseguridad alineadas a requisitos CSF (seguridad en la nube, SBOM, notificación de incidentes, etc.).1</w:t>
      </w:r>
    </w:p>
    <w:p>
      <w:pPr>
        <w:pStyle w:val="ListBullet"/>
        <w:keepLines w:val="1"/>
        <w:widowControl w:val="1"/>
      </w:pPr>
      <w:r>
        <w:t>Número de proveedores y operadores esenciales que reportan incidentes y métricas a los organismos nacionales (CERT, supervisores sectoriales).</w:t>
      </w:r>
    </w:p>
    <w:p>
      <w:pPr>
        <w:pStyle w:val="Heading3"/>
        <w:keepNext/>
        <w:keepLines/>
      </w:pPr>
      <w:r>
        <w:t>4.2. Tabla de ejes de indicadores nacionales CSF 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 de medición nacional (España)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Ejemplos de indicadores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 y recursos nacionales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presupuesto ejecutado; nº revisiones de estrategia; nº órganos de coordinación activos.34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Inventario de sectores y servicios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OES/servicios esenciales con perfil CSF; nº análisis de impacto negocio por sector.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Capacidades de protección y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servicios públicos con requisitos mínimos; nº especialistas formados vs. objetivo.3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Monitorización e inteligencia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Nº incidentes detectados por CERT; % sectores conectados a plataformas de intercambio de inteligencia.4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nacional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Tiempo medio de notificación; nº ejercicios nacionales multiactor al año.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Resiliencia y continuidad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servicios esenciales con RTO/RPO definidos y probados; nº simulacros de recuperación exitosos.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GV.SC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Cadena de suministro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% contratos críticos con cláusulas de seguridad; nº proveedores críticos evaluados periódicamente.1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Comparativa internacional: cómo lo están haciendo otros</w:t>
      </w:r>
    </w:p>
    <w:p>
      <w:r>
        <w:t>Aunque cada país viste el traje CSF 2.0 a su manera, se aprecian patrones convergentes:</w:t>
      </w:r>
    </w:p>
    <w:p>
      <w:pPr>
        <w:pStyle w:val="ListBullet"/>
        <w:keepLines w:val="1"/>
        <w:keepNext w:val="1"/>
        <w:widowControl w:val="1"/>
      </w:pPr>
      <w:r>
        <w:t>Estados Unidos: NIST posiciona el CSF como base para sectores críticos y para la integración con ERM federal, con énfasis en Tiers, perfiles organizativos y métricas ligadas a KPIs/KRIs empresariales.21</w:t>
      </w:r>
    </w:p>
    <w:p>
      <w:pPr>
        <w:pStyle w:val="ListBullet"/>
        <w:keepLines w:val="1"/>
        <w:keepNext w:val="1"/>
        <w:widowControl w:val="1"/>
      </w:pPr>
      <w:r>
        <w:t>Unión Europea: la regulación (NIS2, DORA, CRA) impulsa indicadores de resiliencia y madurez (tiempos de notificación, niveles de cobertura de medidas de seguridad, resultados de pruebas de penetración y TLPT), que se mapean bien a funciones CSF.</w:t>
      </w:r>
    </w:p>
    <w:p>
      <w:pPr>
        <w:pStyle w:val="ListBullet"/>
        <w:keepLines w:val="1"/>
        <w:widowControl w:val="1"/>
      </w:pPr>
      <w:r>
        <w:t>Países con estrategia avanzada (Nordics, Países Bajos, Alemania): suelen publicar paneles de ciberresiliencia nacional que incluyen: volumen de incidentes, cobertura de CERT sectoriales, niveles de cumplimiento, formación, participación en ejercicios y datos de cadena de suministro.</w:t>
      </w:r>
    </w:p>
    <w:p>
      <w:r>
        <w:t>España comparte con estos países una combinación de: ambición de digitalización, presión regulatoria europea y necesidad de adaptar continuamente su Plan Nacional de Ciberseguridad al contexto geopolítico y tecnológico (IA, cuántica, etc.). El espacio natural de convergencia es un cuadro de mando nacional articulado en torno a los seis verbos CSF y poblado con métricas que ya existen dispersas (CERT, ministerios, supervisores sectoriales) pero hoy no siempre se presentan bajo ese prisma.</w:t>
      </w:r>
      <w:r/>
      <w:r>
        <w:rPr/>
        <w:footnoteReference w:id="3"/>
      </w:r>
      <w:r/>
      <w:r>
        <w:rPr/>
        <w:footnoteReference w:id="4"/>
      </w:r>
    </w:p>
    <w:p>
      <w:pPr>
        <w:pStyle w:val="Heading2"/>
        <w:keepNext/>
        <w:keepLines/>
      </w:pPr>
      <w:r>
        <w:rPr>
          <w:color w:val="0066CC"/>
        </w:rPr>
        <w:t>6. Propuesta de indicadores “para encuesta” con tono CSF 2.0</w:t>
      </w:r>
    </w:p>
    <w:p>
      <w:r>
        <w:t>Como orquestador de la liga de CISOs, criptógrafos y demás fauna ilustrada, uno puede desplegar en una encuesta nacional algo como esto (formulado para que el encuestado sienta el pellizco, pero también la guía):</w:t>
      </w:r>
    </w:p>
    <w:p>
      <w:pPr>
        <w:pStyle w:val="Heading3"/>
        <w:keepNext/>
        <w:keepLines/>
      </w:pPr>
      <w:r>
        <w:t>6.1. Gobernanza (GV)</w:t>
      </w:r>
    </w:p>
    <w:p>
      <w:pPr>
        <w:pStyle w:val="ListBullet"/>
        <w:keepLines w:val="1"/>
        <w:keepNext w:val="1"/>
        <w:widowControl w:val="1"/>
      </w:pPr>
      <w:r>
        <w:t>“¿Hasta qué punto dispone su organización de objetivos de gestión de riesgo ciber traducidos a métricas? (p.ej., ‘% sistemas críticos sin vulnerabilidades críticas abiertas más de 30 días’).</w:t>
        <w:br/>
        <w:t>0% – Vivimos en la alegre nebulosa del ‘hágase la seguridad’.</w:t>
        <w:br/>
        <w:t>1–25% – Algún KPI suelto, cual verso libre.</w:t>
        <w:br/>
        <w:t>26–75% – Tenemos un poema razonablemente completo.</w:t>
        <w:br/>
        <w:br/>
        <w:br/>
        <w:t>75% – El consejo lee un cuadro de mando que casi da miedo de lo claro que es.”</w:t>
        <w:br/>
        <w:br/>
        <w:br/>
        <w:br/>
      </w:r>
    </w:p>
    <w:p>
      <w:pPr>
        <w:pStyle w:val="ListBullet"/>
        <w:keepLines w:val="1"/>
        <w:widowControl w:val="1"/>
      </w:pPr>
      <w:r>
        <w:t>“¿Con qué frecuencia se revisa su estrategia de ciberseguridad a raíz de auditorías, incidentes o cambios regulatorios?</w:t>
        <w:br/>
        <w:t>Nunca o ad hoc (solo después del desastre).</w:t>
        <w:br/>
        <w:t>Anualmente, con cierta disciplina estoica.</w:t>
        <w:br/>
        <w:t>Al menos dos veces al año, con datos y sangre fría.</w:t>
        <w:br/>
        <w:t>Iterativamente, incorporando KPIs y KRIs casi en tiempo real.”</w:t>
        <w:br/>
        <w:br/>
      </w:r>
    </w:p>
    <w:p>
      <w:pPr>
        <w:pStyle w:val="ListBullet"/>
        <w:keepLines w:val="1"/>
        <w:keepNext w:val="1"/>
        <w:widowControl w:val="1"/>
      </w:pPr>
      <w:r>
        <w:t>0% – Vivimos en la alegre nebulosa del ‘hágase la seguridad’.</w:t>
      </w:r>
    </w:p>
    <w:p>
      <w:pPr>
        <w:pStyle w:val="ListBullet"/>
        <w:keepLines w:val="1"/>
        <w:keepNext w:val="1"/>
        <w:widowControl w:val="1"/>
      </w:pPr>
      <w:r>
        <w:t>1–25% – Algún KPI suelto, cual verso libre.</w:t>
      </w:r>
    </w:p>
    <w:p>
      <w:pPr>
        <w:pStyle w:val="ListBullet"/>
        <w:keepLines w:val="1"/>
        <w:keepNext w:val="1"/>
        <w:widowControl w:val="1"/>
      </w:pPr>
      <w:r>
        <w:t>26–75% – Tenemos un poema razonablemente completo.</w:t>
      </w:r>
    </w:p>
    <w:p>
      <w:pPr>
        <w:pStyle w:val="ListBullet"/>
        <w:keepLines w:val="1"/>
        <w:widowControl w:val="1"/>
      </w:pPr>
      <w:r>
        <w:br/>
        <w:br/>
        <w:t>75% – El consejo lee un cuadro de mando que casi da miedo de lo claro que es.”</w:t>
        <w:br/>
        <w:br/>
      </w:r>
    </w:p>
    <w:p>
      <w:r>
        <w:t>75% – El consejo lee un cuadro de mando que casi da miedo de lo claro que es.”</w:t>
      </w:r>
    </w:p>
    <w:p>
      <w:pPr>
        <w:pStyle w:val="ListBullet"/>
        <w:keepLines w:val="1"/>
        <w:keepNext w:val="1"/>
        <w:widowControl w:val="1"/>
      </w:pPr>
      <w:r>
        <w:t>Nunca o ad hoc (solo después del desastre).</w:t>
      </w:r>
    </w:p>
    <w:p>
      <w:pPr>
        <w:pStyle w:val="ListBullet"/>
        <w:keepLines w:val="1"/>
        <w:keepNext w:val="1"/>
        <w:widowControl w:val="1"/>
      </w:pPr>
      <w:r>
        <w:t>Anualmente, con cierta disciplina estoica.</w:t>
      </w:r>
    </w:p>
    <w:p>
      <w:pPr>
        <w:pStyle w:val="ListBullet"/>
        <w:keepLines w:val="1"/>
        <w:keepNext w:val="1"/>
        <w:widowControl w:val="1"/>
      </w:pPr>
      <w:r>
        <w:t>Al menos dos veces al año, con datos y sangre fría.</w:t>
      </w:r>
    </w:p>
    <w:p>
      <w:pPr>
        <w:pStyle w:val="ListBullet"/>
        <w:keepLines w:val="1"/>
        <w:widowControl w:val="1"/>
      </w:pPr>
      <w:r>
        <w:t>Iterativamente, incorporando KPIs y KRIs casi en tiempo real.”</w:t>
      </w:r>
    </w:p>
    <w:p>
      <w:pPr>
        <w:pStyle w:val="Heading3"/>
        <w:keepNext/>
        <w:keepLines/>
      </w:pPr>
      <w:r>
        <w:t>6.2. Gestión de activos y datos (ID)</w:t>
      </w:r>
    </w:p>
    <w:p>
      <w:pPr>
        <w:pStyle w:val="ListBullet"/>
        <w:keepLines w:val="1"/>
        <w:keepNext w:val="1"/>
        <w:widowControl w:val="1"/>
      </w:pPr>
      <w:r>
        <w:t>“¿Qué porcentaje estima que tiene de inventario de activos (IT, OT, IoT, nube) detectado automáticamente?</w:t>
        <w:br/>
        <w:t>&lt;50% – Somos más colección de sorpresas que de activos.</w:t>
        <w:br/>
        <w:t>50–80% – Vemos bastante, sospechamos el resto.</w:t>
        <w:br/>
        <w:t>81–95% – Solo se nos escapan los ninjas.</w:t>
        <w:br/>
        <w:br/>
        <w:br/>
        <w:t>95% – Cualquier dispositivo que respira en la red, lo sabemos.”</w:t>
        <w:br/>
        <w:br/>
        <w:br/>
        <w:br/>
      </w:r>
    </w:p>
    <w:p>
      <w:pPr>
        <w:pStyle w:val="ListBullet"/>
        <w:keepLines w:val="1"/>
        <w:widowControl w:val="1"/>
      </w:pPr>
      <w:r>
        <w:t>“¿Los tipos de datos clave (PII, IP, datos OT, etc.) están etiquetados y con propietario definido?</w:t>
        <w:br/>
        <w:t>No, los datos vagan libres como el ganado en la Mesta.</w:t>
        <w:br/>
        <w:t>Parcialmente, en sistemas críticos.</w:t>
        <w:br/>
        <w:t>Mayoritariamente, con clasificación y dueño.</w:t>
        <w:br/>
        <w:t>Sí, y se usan estas etiquetas para políticas y monitoreo.”</w:t>
        <w:br/>
        <w:br/>
      </w:r>
    </w:p>
    <w:p>
      <w:pPr>
        <w:pStyle w:val="ListBullet"/>
        <w:keepLines w:val="1"/>
        <w:keepNext w:val="1"/>
        <w:widowControl w:val="1"/>
      </w:pPr>
      <w:r>
        <w:t>&lt;50% – Somos más colección de sorpresas que de activos.</w:t>
      </w:r>
    </w:p>
    <w:p>
      <w:pPr>
        <w:pStyle w:val="ListBullet"/>
        <w:keepLines w:val="1"/>
        <w:keepNext w:val="1"/>
        <w:widowControl w:val="1"/>
      </w:pPr>
      <w:r>
        <w:t>50–80% – Vemos bastante, sospechamos el resto.</w:t>
      </w:r>
    </w:p>
    <w:p>
      <w:pPr>
        <w:pStyle w:val="ListBullet"/>
        <w:keepLines w:val="1"/>
        <w:keepNext w:val="1"/>
        <w:widowControl w:val="1"/>
      </w:pPr>
      <w:r>
        <w:t>81–95% – Solo se nos escapan los ninjas.</w:t>
      </w:r>
    </w:p>
    <w:p>
      <w:pPr>
        <w:pStyle w:val="ListBullet"/>
        <w:keepLines w:val="1"/>
        <w:widowControl w:val="1"/>
      </w:pPr>
      <w:r>
        <w:br/>
        <w:br/>
        <w:t>95% – Cualquier dispositivo que respira en la red, lo sabemos.”</w:t>
        <w:br/>
        <w:br/>
      </w:r>
    </w:p>
    <w:p>
      <w:r>
        <w:t>95% – Cualquier dispositivo que respira en la red, lo sabemos.”</w:t>
      </w:r>
    </w:p>
    <w:p>
      <w:pPr>
        <w:pStyle w:val="ListBullet"/>
        <w:keepLines w:val="1"/>
        <w:keepNext w:val="1"/>
        <w:widowControl w:val="1"/>
      </w:pPr>
      <w:r>
        <w:t>No, los datos vagan libres como el ganado en la Mesta.</w:t>
      </w:r>
    </w:p>
    <w:p>
      <w:pPr>
        <w:pStyle w:val="ListBullet"/>
        <w:keepLines w:val="1"/>
        <w:keepNext w:val="1"/>
        <w:widowControl w:val="1"/>
      </w:pPr>
      <w:r>
        <w:t>Parcialmente, en sistemas críticos.</w:t>
      </w:r>
    </w:p>
    <w:p>
      <w:pPr>
        <w:pStyle w:val="ListBullet"/>
        <w:keepLines w:val="1"/>
        <w:keepNext w:val="1"/>
        <w:widowControl w:val="1"/>
      </w:pPr>
      <w:r>
        <w:t>Mayoritariamente, con clasificación y dueño.</w:t>
      </w:r>
    </w:p>
    <w:p>
      <w:pPr>
        <w:pStyle w:val="ListBullet"/>
        <w:keepLines w:val="1"/>
        <w:widowControl w:val="1"/>
      </w:pPr>
      <w:r>
        <w:t>Sí, y se usan estas etiquetas para políticas y monitoreo.”</w:t>
      </w:r>
    </w:p>
    <w:p>
      <w:pPr>
        <w:pStyle w:val="Heading3"/>
        <w:keepNext/>
        <w:keepLines/>
      </w:pPr>
      <w:r>
        <w:t>6.3. Riesgo, vulnerabilidades y cambios (ID.RA)</w:t>
      </w:r>
    </w:p>
    <w:p>
      <w:pPr>
        <w:pStyle w:val="ListBullet"/>
        <w:keepLines w:val="1"/>
        <w:keepNext w:val="1"/>
        <w:widowControl w:val="1"/>
      </w:pPr>
      <w:r>
        <w:t>“¿Qué porcentaje de vulnerabilidades críticas se corrigen dentro del plazo definido por su política?</w:t>
        <w:br/>
        <w:t>&lt;25% – La política es más literatura que realidad.</w:t>
        <w:br/>
        <w:t>25–75% – Avanzamos, pero el backlog nos mira con sorna.</w:t>
        <w:br/>
        <w:br/>
        <w:br/>
        <w:t>75% – El SLA de parcheo compite con la Fórmula 1.”</w:t>
        <w:br/>
        <w:br/>
        <w:br/>
        <w:br/>
      </w:r>
    </w:p>
    <w:p>
      <w:pPr>
        <w:pStyle w:val="ListBullet"/>
        <w:keepLines w:val="1"/>
        <w:widowControl w:val="1"/>
      </w:pPr>
      <w:r>
        <w:t>“En los últimos 12 meses, ¿qué porcentaje de cambios relevantes en sistemas críticos se acompañó de un análisis de riesgo formal?</w:t>
        <w:br/>
        <w:t>Casi ninguno – ‘Qué podría salir mal’, dijeron.</w:t>
        <w:br/>
        <w:t>Algunos cambios importantes.</w:t>
        <w:br/>
        <w:t>La mayoría de cambios que tocan sistemas críticos.</w:t>
        <w:br/>
        <w:t>Prácticamente todos, documentados y revisados.”</w:t>
        <w:br/>
        <w:br/>
      </w:r>
    </w:p>
    <w:p>
      <w:pPr>
        <w:pStyle w:val="ListBullet"/>
        <w:keepLines w:val="1"/>
        <w:keepNext w:val="1"/>
        <w:widowControl w:val="1"/>
      </w:pPr>
      <w:r>
        <w:t>&lt;25% – La política es más literatura que realidad.</w:t>
      </w:r>
    </w:p>
    <w:p>
      <w:pPr>
        <w:pStyle w:val="ListBullet"/>
        <w:keepLines w:val="1"/>
        <w:keepNext w:val="1"/>
        <w:widowControl w:val="1"/>
      </w:pPr>
      <w:r>
        <w:t>25–75% – Avanzamos, pero el backlog nos mira con sorna.</w:t>
      </w:r>
    </w:p>
    <w:p>
      <w:pPr>
        <w:pStyle w:val="ListBullet"/>
        <w:keepLines w:val="1"/>
        <w:widowControl w:val="1"/>
      </w:pPr>
      <w:r>
        <w:br/>
        <w:br/>
        <w:t>75% – El SLA de parcheo compite con la Fórmula 1.”</w:t>
        <w:br/>
        <w:br/>
      </w:r>
    </w:p>
    <w:p>
      <w:r>
        <w:t>75% – El SLA de parcheo compite con la Fórmula 1.”</w:t>
      </w:r>
    </w:p>
    <w:p>
      <w:pPr>
        <w:pStyle w:val="ListBullet"/>
        <w:keepLines w:val="1"/>
        <w:keepNext w:val="1"/>
        <w:widowControl w:val="1"/>
      </w:pPr>
      <w:r>
        <w:t>Casi ninguno – ‘Qué podría salir mal’, dijeron.</w:t>
      </w:r>
    </w:p>
    <w:p>
      <w:pPr>
        <w:pStyle w:val="ListBullet"/>
        <w:keepLines w:val="1"/>
        <w:keepNext w:val="1"/>
        <w:widowControl w:val="1"/>
      </w:pPr>
      <w:r>
        <w:t>Algunos cambios importantes.</w:t>
      </w:r>
    </w:p>
    <w:p>
      <w:pPr>
        <w:pStyle w:val="ListBullet"/>
        <w:keepLines w:val="1"/>
        <w:keepNext w:val="1"/>
        <w:widowControl w:val="1"/>
      </w:pPr>
      <w:r>
        <w:t>La mayoría de cambios que tocan sistemas críticos.</w:t>
      </w:r>
    </w:p>
    <w:p>
      <w:pPr>
        <w:pStyle w:val="ListBullet"/>
        <w:keepLines w:val="1"/>
        <w:widowControl w:val="1"/>
      </w:pPr>
      <w:r>
        <w:t>Prácticamente todos, documentados y revisados.”</w:t>
      </w:r>
    </w:p>
    <w:p>
      <w:pPr>
        <w:pStyle w:val="Heading3"/>
        <w:keepNext/>
        <w:keepLines/>
      </w:pPr>
      <w:r>
        <w:t>6.4. Protección, detección y respuesta (PR, DE, RS)</w:t>
      </w:r>
    </w:p>
    <w:p>
      <w:pPr>
        <w:pStyle w:val="ListBullet"/>
        <w:keepLines w:val="1"/>
        <w:keepNext w:val="1"/>
        <w:widowControl w:val="1"/>
      </w:pPr>
      <w:r>
        <w:t>“¿Qué cobertura tiene la autenticación multifactor en sus cuentas de alto riesgo (administradores, acceso remoto, aplicaciones críticas)?</w:t>
        <w:br/>
        <w:t>&lt;25% – La fe en la contraseña sigue siendo fuerte.</w:t>
        <w:br/>
        <w:t>25–75% – En transición, con resistencia cultural incluida.</w:t>
        <w:br/>
        <w:br/>
        <w:br/>
        <w:t>75% – Solo olvidamos a algún servicio ‘de toda la vida’.</w:t>
        <w:br/>
        <w:br/>
        <w:br/>
        <w:t>~100% – El paraíso zero trust (o casi).”</w:t>
        <w:br/>
        <w:br/>
      </w:r>
    </w:p>
    <w:p>
      <w:pPr>
        <w:pStyle w:val="ListBullet"/>
        <w:keepLines w:val="1"/>
        <w:widowControl w:val="1"/>
      </w:pPr>
      <w:r>
        <w:t>“Ante un incidente grave, el tiempo medio hasta la contención (aislar sistemas, cortar propagación) suele ser:</w:t>
        <w:br/>
        <w:t>Desconocido – vivimos en la épica, no en el cronómetro.</w:t>
        <w:br/>
        <w:br/>
        <w:br/>
        <w:t>24 h – Luchamos con fuego y correo electrónico.</w:t>
        <w:br/>
        <w:br/>
        <w:br/>
        <w:t>4–24 h – Coordinación razonable.</w:t>
        <w:br/>
        <w:t>&lt;4 h – Orquesta bien ensayada, aunque a veces improvisemos jazz.”</w:t>
        <w:br/>
        <w:br/>
      </w:r>
    </w:p>
    <w:p>
      <w:pPr>
        <w:pStyle w:val="ListBullet"/>
        <w:keepLines w:val="1"/>
        <w:keepNext w:val="1"/>
        <w:widowControl w:val="1"/>
      </w:pPr>
      <w:r>
        <w:t>&lt;25% – La fe en la contraseña sigue siendo fuerte.</w:t>
      </w:r>
    </w:p>
    <w:p>
      <w:pPr>
        <w:pStyle w:val="ListBullet"/>
        <w:keepLines w:val="1"/>
        <w:keepNext w:val="1"/>
        <w:widowControl w:val="1"/>
      </w:pPr>
      <w:r>
        <w:t>25–75% – En transición, con resistencia cultural incluida.</w:t>
      </w:r>
    </w:p>
    <w:p>
      <w:pPr>
        <w:pStyle w:val="ListBullet"/>
        <w:keepLines w:val="1"/>
        <w:keepNext w:val="1"/>
        <w:widowControl w:val="1"/>
      </w:pPr>
      <w:r>
        <w:br/>
        <w:br/>
        <w:t>75% – Solo olvidamos a algún servicio ‘de toda la vida’.</w:t>
        <w:br/>
        <w:br/>
      </w:r>
    </w:p>
    <w:p>
      <w:pPr>
        <w:pStyle w:val="ListBullet"/>
        <w:keepLines w:val="1"/>
        <w:widowControl w:val="1"/>
      </w:pPr>
      <w:r>
        <w:t>~100% – El paraíso zero trust (o casi).”</w:t>
      </w:r>
    </w:p>
    <w:p>
      <w:r>
        <w:t>75% – Solo olvidamos a algún servicio ‘de toda la vida’.</w:t>
      </w:r>
    </w:p>
    <w:p>
      <w:pPr>
        <w:pStyle w:val="ListBullet"/>
        <w:keepLines w:val="1"/>
        <w:keepNext w:val="1"/>
        <w:widowControl w:val="1"/>
      </w:pPr>
      <w:r>
        <w:t>Desconocido – vivimos en la épica, no en el cronómetro.</w:t>
      </w:r>
    </w:p>
    <w:p>
      <w:pPr>
        <w:pStyle w:val="ListBullet"/>
        <w:keepLines w:val="1"/>
        <w:keepNext w:val="1"/>
        <w:widowControl w:val="1"/>
      </w:pPr>
      <w:r>
        <w:br/>
        <w:br/>
        <w:t>24 h – Luchamos con fuego y correo electrónico.</w:t>
        <w:br/>
        <w:br/>
      </w:r>
    </w:p>
    <w:p>
      <w:pPr>
        <w:pStyle w:val="ListBullet"/>
        <w:keepLines w:val="1"/>
        <w:keepNext w:val="1"/>
        <w:widowControl w:val="1"/>
      </w:pPr>
      <w:r>
        <w:t>4–24 h – Coordinación razonable.</w:t>
      </w:r>
    </w:p>
    <w:p>
      <w:pPr>
        <w:pStyle w:val="ListBullet"/>
        <w:keepLines w:val="1"/>
        <w:widowControl w:val="1"/>
      </w:pPr>
      <w:r>
        <w:t>&lt;4 h – Orquesta bien ensayada, aunque a veces improvisemos jazz.”</w:t>
      </w:r>
    </w:p>
    <w:p>
      <w:r>
        <w:t>24 h – Luchamos con fuego y correo electrónico.</w:t>
      </w:r>
    </w:p>
    <w:p>
      <w:pPr>
        <w:pStyle w:val="Heading3"/>
        <w:keepNext/>
        <w:keepLines/>
      </w:pPr>
      <w:r>
        <w:t>6.5. Recuperación y continuidad (RC)</w:t>
      </w:r>
    </w:p>
    <w:p>
      <w:pPr>
        <w:pStyle w:val="ListBullet"/>
        <w:keepLines w:val="1"/>
        <w:keepNext w:val="1"/>
        <w:widowControl w:val="1"/>
      </w:pPr>
      <w:r>
        <w:t>“¿Su organización tiene objetivos de RTO/RPO definidos y probados para sus procesos críticos?</w:t>
        <w:br/>
        <w:t>No, confiamos en la providencia (y en backups misteriosos).</w:t>
        <w:br/>
        <w:t>Definidos, pero apenas probados.</w:t>
        <w:br/>
        <w:t>Definidos y probados al menos anualmente.</w:t>
        <w:br/>
        <w:t>Definidos, probados y revisados tras cada incidente o ejercicio.”</w:t>
        <w:br/>
        <w:br/>
      </w:r>
    </w:p>
    <w:p>
      <w:pPr>
        <w:pStyle w:val="ListBullet"/>
        <w:keepLines w:val="1"/>
        <w:widowControl w:val="1"/>
      </w:pPr>
      <w:r>
        <w:t>“En el último ejercicio de recuperación, ¿qué porcentaje de servicios alcanzó el RTO definido?</w:t>
        <w:br/>
        <w:t>No hacemos ejercicios.</w:t>
        <w:br/>
        <w:t>Menos de la mitad.</w:t>
        <w:br/>
        <w:t>Entre la mitad y tres cuartas partes.</w:t>
        <w:br/>
        <w:t>La mayoría o todos (y lo podemos demostrar con datos).”</w:t>
        <w:br/>
        <w:br/>
      </w:r>
    </w:p>
    <w:p>
      <w:pPr>
        <w:pStyle w:val="ListBullet"/>
        <w:keepLines w:val="1"/>
        <w:keepNext w:val="1"/>
        <w:widowControl w:val="1"/>
      </w:pPr>
      <w:r>
        <w:t>No, confiamos en la providencia (y en backups misteriosos).</w:t>
      </w:r>
    </w:p>
    <w:p>
      <w:pPr>
        <w:pStyle w:val="ListBullet"/>
        <w:keepLines w:val="1"/>
        <w:keepNext w:val="1"/>
        <w:widowControl w:val="1"/>
      </w:pPr>
      <w:r>
        <w:t>Definidos, pero apenas probados.</w:t>
      </w:r>
    </w:p>
    <w:p>
      <w:pPr>
        <w:pStyle w:val="ListBullet"/>
        <w:keepLines w:val="1"/>
        <w:keepNext w:val="1"/>
        <w:widowControl w:val="1"/>
      </w:pPr>
      <w:r>
        <w:t>Definidos y probados al menos anualmente.</w:t>
      </w:r>
    </w:p>
    <w:p>
      <w:pPr>
        <w:pStyle w:val="ListBullet"/>
        <w:keepLines w:val="1"/>
        <w:widowControl w:val="1"/>
      </w:pPr>
      <w:r>
        <w:t>Definidos, probados y revisados tras cada incidente o ejercicio.”</w:t>
      </w:r>
    </w:p>
    <w:p>
      <w:pPr>
        <w:pStyle w:val="ListBullet"/>
        <w:keepLines w:val="1"/>
        <w:keepNext w:val="1"/>
        <w:widowControl w:val="1"/>
      </w:pPr>
      <w:r>
        <w:t>No hacemos ejercicios.</w:t>
      </w:r>
    </w:p>
    <w:p>
      <w:pPr>
        <w:pStyle w:val="ListBullet"/>
        <w:keepLines w:val="1"/>
        <w:keepNext w:val="1"/>
        <w:widowControl w:val="1"/>
      </w:pPr>
      <w:r>
        <w:t>Menos de la mitad.</w:t>
      </w:r>
    </w:p>
    <w:p>
      <w:pPr>
        <w:pStyle w:val="ListBullet"/>
        <w:keepLines w:val="1"/>
        <w:keepNext w:val="1"/>
        <w:widowControl w:val="1"/>
      </w:pPr>
      <w:r>
        <w:t>Entre la mitad y tres cuartas partes.</w:t>
      </w:r>
    </w:p>
    <w:p>
      <w:pPr>
        <w:pStyle w:val="ListBullet"/>
        <w:keepLines w:val="1"/>
        <w:widowControl w:val="1"/>
      </w:pPr>
      <w:r>
        <w:t>La mayoría o todos (y lo podemos demostrar con datos).”</w:t>
      </w:r>
    </w:p>
    <w:p>
      <w:pPr>
        <w:pStyle w:val="Heading3"/>
        <w:keepNext/>
        <w:keepLines/>
      </w:pPr>
      <w:r>
        <w:t>6.6. Cadena de suministro (GV.SC)</w:t>
      </w:r>
    </w:p>
    <w:p>
      <w:pPr>
        <w:pStyle w:val="ListBullet"/>
        <w:keepLines w:val="1"/>
        <w:keepNext w:val="1"/>
        <w:widowControl w:val="1"/>
      </w:pPr>
      <w:r>
        <w:t>“¿Qué porcentaje de sus proveedores críticos tiene requisitos de ciberseguridad definidos en contrato (incluyendo notificación de incidentes, SBOM, auditorías, etc.)?</w:t>
        <w:br/>
        <w:t>~0% – La confianza es nuestro único control.</w:t>
        <w:br/>
        <w:t>1–25% – Empezamos por los contratos más grandes.</w:t>
        <w:br/>
        <w:t>26–75% – Los críticos están bastante bien cubiertos.</w:t>
        <w:br/>
        <w:br/>
        <w:br/>
        <w:t>75% – Si no hay cláusulas de ciber, no hay contrato.”</w:t>
        <w:br/>
        <w:br/>
        <w:br/>
        <w:br/>
      </w:r>
    </w:p>
    <w:p>
      <w:pPr>
        <w:pStyle w:val="ListBullet"/>
        <w:keepLines w:val="1"/>
        <w:widowControl w:val="1"/>
      </w:pPr>
      <w:r>
        <w:t>“¿Con qué frecuencia revisa la seguridad de sus proveedores críticos (evidencias, auditorías, evaluaciones técnicas)?</w:t>
        <w:br/>
        <w:t>Nunca – suponemos que todo va estupendamente.</w:t>
        <w:br/>
        <w:t>Solo al inicio de la relación.</w:t>
        <w:br/>
        <w:t>Cada 2–3 años o tras incidentes.</w:t>
        <w:br/>
        <w:t>Al menos anual, con métricas y seguimiento.”</w:t>
        <w:br/>
        <w:br/>
      </w:r>
    </w:p>
    <w:p>
      <w:pPr>
        <w:pStyle w:val="ListBullet"/>
        <w:keepLines w:val="1"/>
        <w:keepNext w:val="1"/>
        <w:widowControl w:val="1"/>
      </w:pPr>
      <w:r>
        <w:t>~0% – La confianza es nuestro único control.</w:t>
      </w:r>
    </w:p>
    <w:p>
      <w:pPr>
        <w:pStyle w:val="ListBullet"/>
        <w:keepLines w:val="1"/>
        <w:keepNext w:val="1"/>
        <w:widowControl w:val="1"/>
      </w:pPr>
      <w:r>
        <w:t>1–25% – Empezamos por los contratos más grandes.</w:t>
      </w:r>
    </w:p>
    <w:p>
      <w:pPr>
        <w:pStyle w:val="ListBullet"/>
        <w:keepLines w:val="1"/>
        <w:keepNext w:val="1"/>
        <w:widowControl w:val="1"/>
      </w:pPr>
      <w:r>
        <w:t>26–75% – Los críticos están bastante bien cubiertos.</w:t>
      </w:r>
    </w:p>
    <w:p>
      <w:pPr>
        <w:pStyle w:val="ListBullet"/>
        <w:keepLines w:val="1"/>
        <w:widowControl w:val="1"/>
      </w:pPr>
      <w:r>
        <w:br/>
        <w:br/>
        <w:t>75% – Si no hay cláusulas de ciber, no hay contrato.”</w:t>
        <w:br/>
        <w:br/>
      </w:r>
    </w:p>
    <w:p>
      <w:r>
        <w:t>75% – Si no hay cláusulas de ciber, no hay contrato.”</w:t>
      </w:r>
    </w:p>
    <w:p>
      <w:pPr>
        <w:pStyle w:val="ListBullet"/>
        <w:keepLines w:val="1"/>
        <w:keepNext w:val="1"/>
        <w:widowControl w:val="1"/>
      </w:pPr>
      <w:r>
        <w:t>Nunca – suponemos que todo va estupendamente.</w:t>
      </w:r>
    </w:p>
    <w:p>
      <w:pPr>
        <w:pStyle w:val="ListBullet"/>
        <w:keepLines w:val="1"/>
        <w:keepNext w:val="1"/>
        <w:widowControl w:val="1"/>
      </w:pPr>
      <w:r>
        <w:t>Solo al inicio de la relación.</w:t>
      </w:r>
    </w:p>
    <w:p>
      <w:pPr>
        <w:pStyle w:val="ListBullet"/>
        <w:keepLines w:val="1"/>
        <w:keepNext w:val="1"/>
        <w:widowControl w:val="1"/>
      </w:pPr>
      <w:r>
        <w:t>Cada 2–3 años o tras incidentes.</w:t>
      </w:r>
    </w:p>
    <w:p>
      <w:pPr>
        <w:pStyle w:val="ListBullet"/>
        <w:keepLines w:val="1"/>
        <w:widowControl w:val="1"/>
      </w:pPr>
      <w:r>
        <w:t>Al menos anual, con métricas y seguimiento.”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https://www.blumira.com/blog/nist-cybersecurity-framework-2.0-2025-guide-for-mid-market-companies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https://portal.mineco.gob.es/RecursosArticulo/mineco/ministerio/ficheros/210204_Digital_Spain_2025.pdf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https://www.blumira.com/blog/nist-cybersecurity-framework-2.0-2025-guide-for-mid-market-companies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https://www.blumira.com/blog/nist-cybersecurity-framework-2.0-2025-guide-for-mid-market-companies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https://www.blumira.com/blog/nist-cybersecurity-framework-2.0-2025-guide-for-mid-market-companies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https://www.nist.gov/news-events/news/2026/03/nist-releases-two-new-csf-20-quick-start-guides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https://nvlpubs.nist.gov/nistpubs/CSWP/NIST.CSWP.29.pdf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https://portal.mineco.gob.es/RecursosArticulo/mineco/ministerio/ficheros/210204_Digital_Spain_2025.pdf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https://portal.mineco.gob.es/RecursosArticulo/mineco/ministerio/ficheros/210204_Digital_Spain_2025.pdf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